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A67CC">
      <w:pPr>
        <w:rPr>
          <w:rFonts w:ascii="仿宋" w:hAnsi="仿宋" w:eastAsia="仿宋"/>
          <w:sz w:val="28"/>
          <w:szCs w:val="28"/>
        </w:rPr>
      </w:pPr>
      <w:r>
        <w:rPr>
          <w:rFonts w:hint="eastAsia" w:ascii="仿宋" w:hAnsi="仿宋" w:eastAsia="仿宋"/>
          <w:sz w:val="32"/>
          <w:szCs w:val="32"/>
        </w:rPr>
        <w:t>附件1：南昌大学软件正版化服务项目</w:t>
      </w:r>
      <w:r>
        <w:rPr>
          <w:rFonts w:hint="eastAsia" w:ascii="仿宋" w:hAnsi="仿宋" w:eastAsia="仿宋"/>
          <w:b/>
          <w:bCs/>
          <w:sz w:val="32"/>
          <w:szCs w:val="32"/>
        </w:rPr>
        <w:t>需求书</w:t>
      </w:r>
      <w:r>
        <w:rPr>
          <w:rFonts w:hint="eastAsia" w:ascii="仿宋" w:hAnsi="仿宋" w:eastAsia="仿宋"/>
          <w:b/>
          <w:bCs/>
          <w:sz w:val="28"/>
          <w:szCs w:val="28"/>
        </w:rPr>
        <w:t>（征集意见稿）</w:t>
      </w:r>
    </w:p>
    <w:p w14:paraId="148869AB">
      <w:pPr>
        <w:rPr>
          <w:rFonts w:ascii="仿宋" w:hAnsi="仿宋" w:eastAsia="仿宋"/>
          <w:sz w:val="32"/>
          <w:szCs w:val="32"/>
        </w:rPr>
      </w:pPr>
      <w:r>
        <w:rPr>
          <w:rFonts w:hint="eastAsia" w:ascii="仿宋" w:hAnsi="仿宋" w:eastAsia="仿宋"/>
          <w:b/>
          <w:bCs/>
          <w:sz w:val="32"/>
          <w:szCs w:val="32"/>
        </w:rPr>
        <w:t>一、项目概述</w:t>
      </w:r>
      <w:r>
        <w:rPr>
          <w:rFonts w:hint="eastAsia" w:ascii="仿宋" w:hAnsi="仿宋" w:eastAsia="仿宋"/>
          <w:sz w:val="32"/>
          <w:szCs w:val="32"/>
        </w:rPr>
        <w:t>:</w:t>
      </w:r>
    </w:p>
    <w:tbl>
      <w:tblPr>
        <w:tblStyle w:val="13"/>
        <w:tblW w:w="0" w:type="auto"/>
        <w:jc w:val="center"/>
        <w:tblCellSpacing w:w="0" w:type="dxa"/>
        <w:shd w:val="clear" w:color="auto" w:fill="FFFFFF"/>
        <w:tblLayout w:type="autofit"/>
        <w:tblCellMar>
          <w:top w:w="0" w:type="dxa"/>
          <w:left w:w="0" w:type="dxa"/>
          <w:bottom w:w="0" w:type="dxa"/>
          <w:right w:w="0" w:type="dxa"/>
        </w:tblCellMar>
      </w:tblPr>
      <w:tblGrid>
        <w:gridCol w:w="590"/>
        <w:gridCol w:w="1720"/>
        <w:gridCol w:w="1908"/>
        <w:gridCol w:w="3844"/>
      </w:tblGrid>
      <w:tr w14:paraId="13C2E383">
        <w:tblPrEx>
          <w:shd w:val="clear" w:color="auto" w:fill="FFFFFF"/>
          <w:tblCellMar>
            <w:top w:w="0" w:type="dxa"/>
            <w:left w:w="0" w:type="dxa"/>
            <w:bottom w:w="0" w:type="dxa"/>
            <w:right w:w="0" w:type="dxa"/>
          </w:tblCellMar>
        </w:tblPrEx>
        <w:trPr>
          <w:trHeight w:val="48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74C7DFB">
            <w:pPr>
              <w:rPr>
                <w:rFonts w:ascii="仿宋" w:hAnsi="仿宋" w:eastAsia="仿宋"/>
                <w:sz w:val="32"/>
                <w:szCs w:val="32"/>
              </w:rPr>
            </w:pPr>
            <w:r>
              <w:rPr>
                <w:rFonts w:hint="eastAsia" w:ascii="仿宋" w:hAnsi="仿宋" w:eastAsia="仿宋"/>
                <w:sz w:val="32"/>
                <w:szCs w:val="32"/>
              </w:rPr>
              <w:t>序号</w:t>
            </w:r>
          </w:p>
        </w:tc>
        <w:tc>
          <w:tcPr>
            <w:tcW w:w="172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D89CBCF">
            <w:pPr>
              <w:rPr>
                <w:rFonts w:ascii="仿宋" w:hAnsi="仿宋" w:eastAsia="仿宋"/>
                <w:sz w:val="32"/>
                <w:szCs w:val="32"/>
              </w:rPr>
            </w:pPr>
            <w:r>
              <w:rPr>
                <w:rFonts w:hint="eastAsia" w:ascii="仿宋" w:hAnsi="仿宋" w:eastAsia="仿宋"/>
                <w:sz w:val="32"/>
                <w:szCs w:val="32"/>
              </w:rPr>
              <w:t>采购项目名称</w:t>
            </w:r>
          </w:p>
        </w:tc>
        <w:tc>
          <w:tcPr>
            <w:tcW w:w="1908"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5262F4BA">
            <w:pPr>
              <w:rPr>
                <w:rFonts w:ascii="仿宋" w:hAnsi="仿宋" w:eastAsia="仿宋"/>
                <w:sz w:val="32"/>
                <w:szCs w:val="32"/>
              </w:rPr>
            </w:pPr>
            <w:r>
              <w:rPr>
                <w:rFonts w:hint="eastAsia" w:ascii="仿宋" w:hAnsi="仿宋" w:eastAsia="仿宋"/>
                <w:sz w:val="32"/>
                <w:szCs w:val="32"/>
              </w:rPr>
              <w:t>预算金额（单位：元）</w:t>
            </w:r>
          </w:p>
        </w:tc>
        <w:tc>
          <w:tcPr>
            <w:tcW w:w="3844"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1484E6C5">
            <w:pPr>
              <w:rPr>
                <w:rFonts w:ascii="仿宋" w:hAnsi="仿宋" w:eastAsia="仿宋"/>
                <w:sz w:val="32"/>
                <w:szCs w:val="32"/>
              </w:rPr>
            </w:pPr>
            <w:r>
              <w:rPr>
                <w:rFonts w:hint="eastAsia" w:ascii="仿宋" w:hAnsi="仿宋" w:eastAsia="仿宋"/>
                <w:sz w:val="32"/>
                <w:szCs w:val="32"/>
              </w:rPr>
              <w:t>采购需求概况</w:t>
            </w:r>
          </w:p>
        </w:tc>
      </w:tr>
      <w:tr w14:paraId="3396EF31">
        <w:tblPrEx>
          <w:shd w:val="clear" w:color="auto" w:fill="FFFFFF"/>
          <w:tblCellMar>
            <w:top w:w="0" w:type="dxa"/>
            <w:left w:w="0" w:type="dxa"/>
            <w:bottom w:w="0" w:type="dxa"/>
            <w:right w:w="0" w:type="dxa"/>
          </w:tblCellMar>
        </w:tblPrEx>
        <w:trPr>
          <w:trHeight w:val="9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82419E5">
            <w:pPr>
              <w:rPr>
                <w:rFonts w:ascii="仿宋" w:hAnsi="仿宋" w:eastAsia="仿宋"/>
                <w:sz w:val="32"/>
                <w:szCs w:val="32"/>
              </w:rPr>
            </w:pPr>
            <w:r>
              <w:rPr>
                <w:rFonts w:hint="eastAsia" w:ascii="仿宋" w:hAnsi="仿宋" w:eastAsia="仿宋"/>
                <w:sz w:val="32"/>
                <w:szCs w:val="32"/>
              </w:rPr>
              <w:t>1</w:t>
            </w:r>
          </w:p>
        </w:tc>
        <w:tc>
          <w:tcPr>
            <w:tcW w:w="172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502E7ED">
            <w:pPr>
              <w:rPr>
                <w:rFonts w:ascii="仿宋" w:hAnsi="仿宋" w:eastAsia="仿宋"/>
                <w:sz w:val="32"/>
                <w:szCs w:val="32"/>
              </w:rPr>
            </w:pPr>
            <w:r>
              <w:rPr>
                <w:rFonts w:hint="eastAsia" w:ascii="宋体" w:hAnsi="宋体" w:eastAsia="宋体"/>
                <w:sz w:val="24"/>
              </w:rPr>
              <w:t>软件正版化服务</w:t>
            </w:r>
          </w:p>
        </w:tc>
        <w:tc>
          <w:tcPr>
            <w:tcW w:w="1908"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66583F38">
            <w:pPr>
              <w:rPr>
                <w:rFonts w:ascii="仿宋" w:hAnsi="仿宋" w:eastAsia="仿宋"/>
                <w:sz w:val="32"/>
                <w:szCs w:val="32"/>
              </w:rPr>
            </w:pPr>
            <w:r>
              <w:rPr>
                <w:rFonts w:hint="eastAsia" w:ascii="仿宋" w:hAnsi="仿宋" w:eastAsia="仿宋"/>
                <w:sz w:val="32"/>
                <w:szCs w:val="32"/>
              </w:rPr>
              <w:t>950000</w:t>
            </w:r>
          </w:p>
        </w:tc>
        <w:tc>
          <w:tcPr>
            <w:tcW w:w="3844"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34A17BFA">
            <w:pPr>
              <w:rPr>
                <w:rFonts w:ascii="仿宋" w:hAnsi="仿宋" w:eastAsia="仿宋"/>
                <w:sz w:val="32"/>
                <w:szCs w:val="32"/>
              </w:rPr>
            </w:pPr>
            <w:r>
              <w:rPr>
                <w:rFonts w:hint="eastAsia" w:ascii="仿宋" w:hAnsi="仿宋" w:eastAsia="仿宋"/>
                <w:sz w:val="32"/>
                <w:szCs w:val="32"/>
              </w:rPr>
              <w:t>本项目签订合同后，在三十个工作日内完成软件正版化平台的部署与调试</w:t>
            </w:r>
          </w:p>
          <w:p w14:paraId="7991B913">
            <w:pPr>
              <w:rPr>
                <w:rFonts w:ascii="仿宋" w:hAnsi="仿宋" w:eastAsia="仿宋"/>
                <w:sz w:val="32"/>
                <w:szCs w:val="32"/>
              </w:rPr>
            </w:pPr>
            <w:r>
              <w:rPr>
                <w:rFonts w:ascii="Calibri" w:hAnsi="Calibri" w:eastAsia="仿宋" w:cs="Calibri"/>
                <w:sz w:val="32"/>
                <w:szCs w:val="32"/>
              </w:rPr>
              <w:t> </w:t>
            </w:r>
          </w:p>
        </w:tc>
      </w:tr>
    </w:tbl>
    <w:p w14:paraId="0D12C98C">
      <w:pPr>
        <w:rPr>
          <w:rFonts w:ascii="仿宋" w:hAnsi="仿宋" w:eastAsia="仿宋"/>
          <w:sz w:val="32"/>
          <w:szCs w:val="32"/>
        </w:rPr>
      </w:pPr>
      <w:r>
        <w:rPr>
          <w:rFonts w:ascii="Calibri" w:hAnsi="Calibri" w:eastAsia="仿宋" w:cs="Calibri"/>
          <w:sz w:val="32"/>
          <w:szCs w:val="32"/>
        </w:rPr>
        <w:t> </w:t>
      </w:r>
    </w:p>
    <w:p w14:paraId="3C2E49BD">
      <w:pPr>
        <w:rPr>
          <w:rFonts w:ascii="仿宋" w:hAnsi="仿宋" w:eastAsia="仿宋"/>
          <w:b/>
          <w:bCs/>
          <w:sz w:val="32"/>
          <w:szCs w:val="32"/>
        </w:rPr>
      </w:pPr>
      <w:r>
        <w:rPr>
          <w:rFonts w:hint="eastAsia" w:ascii="仿宋" w:hAnsi="仿宋" w:eastAsia="仿宋"/>
          <w:b/>
          <w:bCs/>
          <w:sz w:val="32"/>
          <w:szCs w:val="32"/>
        </w:rPr>
        <w:t> 二、技术/服务标准与要求</w:t>
      </w:r>
    </w:p>
    <w:tbl>
      <w:tblPr>
        <w:tblStyle w:val="13"/>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17"/>
        <w:gridCol w:w="1418"/>
        <w:gridCol w:w="3872"/>
        <w:gridCol w:w="1202"/>
      </w:tblGrid>
      <w:tr w14:paraId="49E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EF88478">
            <w:pPr>
              <w:spacing w:line="360" w:lineRule="auto"/>
              <w:jc w:val="center"/>
              <w:rPr>
                <w:rFonts w:ascii="宋体" w:hAnsi="宋体"/>
                <w:b/>
                <w:sz w:val="24"/>
              </w:rPr>
            </w:pPr>
            <w:r>
              <w:rPr>
                <w:rFonts w:hint="eastAsia" w:ascii="宋体" w:hAnsi="宋体"/>
                <w:b/>
                <w:sz w:val="24"/>
              </w:rPr>
              <w:t>序号</w:t>
            </w:r>
          </w:p>
        </w:tc>
        <w:tc>
          <w:tcPr>
            <w:tcW w:w="1217" w:type="dxa"/>
            <w:vAlign w:val="center"/>
          </w:tcPr>
          <w:p w14:paraId="75C1C0D5">
            <w:pPr>
              <w:widowControl/>
              <w:spacing w:line="360" w:lineRule="auto"/>
              <w:jc w:val="center"/>
              <w:rPr>
                <w:rFonts w:ascii="宋体" w:hAnsi="宋体"/>
                <w:b/>
                <w:sz w:val="24"/>
              </w:rPr>
            </w:pPr>
            <w:r>
              <w:rPr>
                <w:rFonts w:hint="eastAsia" w:ascii="宋体" w:hAnsi="宋体"/>
                <w:b/>
                <w:sz w:val="24"/>
              </w:rPr>
              <w:t>重要性</w:t>
            </w:r>
          </w:p>
        </w:tc>
        <w:tc>
          <w:tcPr>
            <w:tcW w:w="1418" w:type="dxa"/>
            <w:vAlign w:val="center"/>
          </w:tcPr>
          <w:p w14:paraId="5F1A4DF6">
            <w:pPr>
              <w:widowControl/>
              <w:spacing w:line="360" w:lineRule="auto"/>
              <w:jc w:val="center"/>
              <w:rPr>
                <w:rFonts w:ascii="宋体" w:hAnsi="宋体"/>
                <w:b/>
                <w:sz w:val="24"/>
              </w:rPr>
            </w:pPr>
            <w:r>
              <w:rPr>
                <w:rFonts w:hint="eastAsia" w:ascii="宋体" w:hAnsi="宋体"/>
                <w:b/>
                <w:sz w:val="24"/>
              </w:rPr>
              <w:t>指标项</w:t>
            </w:r>
          </w:p>
        </w:tc>
        <w:tc>
          <w:tcPr>
            <w:tcW w:w="3872" w:type="dxa"/>
            <w:vAlign w:val="center"/>
          </w:tcPr>
          <w:p w14:paraId="2E38A853">
            <w:pPr>
              <w:widowControl/>
              <w:spacing w:line="360" w:lineRule="auto"/>
              <w:jc w:val="center"/>
              <w:rPr>
                <w:rFonts w:ascii="宋体" w:hAnsi="宋体"/>
                <w:b/>
                <w:sz w:val="24"/>
              </w:rPr>
            </w:pPr>
            <w:r>
              <w:rPr>
                <w:rFonts w:hint="eastAsia" w:ascii="宋体" w:hAnsi="宋体"/>
                <w:b/>
                <w:sz w:val="24"/>
              </w:rPr>
              <w:t>指标要求</w:t>
            </w:r>
          </w:p>
        </w:tc>
        <w:tc>
          <w:tcPr>
            <w:tcW w:w="1202" w:type="dxa"/>
            <w:vAlign w:val="center"/>
          </w:tcPr>
          <w:p w14:paraId="591C9999">
            <w:pPr>
              <w:widowControl/>
              <w:spacing w:line="360" w:lineRule="auto"/>
              <w:jc w:val="center"/>
              <w:rPr>
                <w:rFonts w:ascii="宋体" w:hAnsi="宋体"/>
                <w:b/>
                <w:sz w:val="24"/>
              </w:rPr>
            </w:pPr>
            <w:r>
              <w:rPr>
                <w:rFonts w:hint="eastAsia" w:ascii="宋体" w:hAnsi="宋体"/>
                <w:b/>
                <w:sz w:val="24"/>
              </w:rPr>
              <w:t>证明材料要求</w:t>
            </w:r>
          </w:p>
        </w:tc>
      </w:tr>
      <w:tr w14:paraId="1FF5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1DF714A">
            <w:pPr>
              <w:spacing w:line="360" w:lineRule="auto"/>
              <w:jc w:val="center"/>
              <w:rPr>
                <w:rFonts w:ascii="宋体" w:hAnsi="宋体"/>
                <w:sz w:val="24"/>
              </w:rPr>
            </w:pPr>
            <w:r>
              <w:rPr>
                <w:rFonts w:hint="eastAsia" w:ascii="宋体" w:hAnsi="宋体"/>
                <w:sz w:val="24"/>
              </w:rPr>
              <w:t>1</w:t>
            </w:r>
          </w:p>
        </w:tc>
        <w:tc>
          <w:tcPr>
            <w:tcW w:w="1217" w:type="dxa"/>
            <w:vAlign w:val="center"/>
          </w:tcPr>
          <w:p w14:paraId="372D776A">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44DF41D">
            <w:pPr>
              <w:widowControl/>
              <w:spacing w:line="360" w:lineRule="auto"/>
              <w:jc w:val="center"/>
              <w:rPr>
                <w:rFonts w:ascii="宋体" w:hAnsi="宋体"/>
                <w:sz w:val="24"/>
              </w:rPr>
            </w:pPr>
            <w:r>
              <w:rPr>
                <w:rFonts w:hint="eastAsia" w:ascii="宋体" w:hAnsi="宋体"/>
                <w:sz w:val="24"/>
              </w:rPr>
              <w:t>操作系统（桌面系统）和办公软件（office）套件软件许可授权服务</w:t>
            </w:r>
          </w:p>
        </w:tc>
        <w:tc>
          <w:tcPr>
            <w:tcW w:w="3872" w:type="dxa"/>
            <w:vAlign w:val="center"/>
          </w:tcPr>
          <w:p w14:paraId="325AF90F">
            <w:pPr>
              <w:widowControl/>
              <w:spacing w:line="360" w:lineRule="auto"/>
              <w:jc w:val="left"/>
              <w:rPr>
                <w:rFonts w:ascii="宋体" w:hAnsi="宋体"/>
                <w:sz w:val="24"/>
              </w:rPr>
            </w:pPr>
            <w:r>
              <w:rPr>
                <w:rFonts w:hint="eastAsia" w:ascii="宋体" w:hAnsi="宋体"/>
                <w:sz w:val="24"/>
              </w:rPr>
              <w:t>基本要求</w:t>
            </w:r>
          </w:p>
          <w:p w14:paraId="6A4F9E88">
            <w:pPr>
              <w:widowControl/>
              <w:spacing w:line="360" w:lineRule="auto"/>
              <w:jc w:val="left"/>
              <w:rPr>
                <w:rFonts w:ascii="宋体" w:hAnsi="宋体"/>
                <w:sz w:val="24"/>
              </w:rPr>
            </w:pPr>
            <w:r>
              <w:rPr>
                <w:rFonts w:hint="eastAsia" w:ascii="宋体" w:hAnsi="宋体"/>
                <w:sz w:val="24"/>
              </w:rPr>
              <w:t>1.授权方式：校园正版协议。</w:t>
            </w:r>
          </w:p>
          <w:p w14:paraId="008F445D">
            <w:pPr>
              <w:widowControl/>
              <w:spacing w:line="360" w:lineRule="auto"/>
              <w:jc w:val="left"/>
              <w:rPr>
                <w:rFonts w:ascii="宋体" w:hAnsi="宋体"/>
                <w:sz w:val="24"/>
              </w:rPr>
            </w:pPr>
            <w:r>
              <w:rPr>
                <w:rFonts w:hint="eastAsia" w:ascii="宋体" w:hAnsi="宋体"/>
                <w:sz w:val="24"/>
              </w:rPr>
              <w:t>2.服务期限：1 年</w:t>
            </w:r>
          </w:p>
          <w:p w14:paraId="6BEF27B3">
            <w:pPr>
              <w:widowControl/>
              <w:spacing w:line="360" w:lineRule="auto"/>
              <w:jc w:val="left"/>
              <w:rPr>
                <w:rFonts w:ascii="宋体" w:hAnsi="宋体"/>
                <w:sz w:val="24"/>
              </w:rPr>
            </w:pPr>
            <w:r>
              <w:rPr>
                <w:rFonts w:hint="eastAsia" w:ascii="宋体" w:hAnsi="宋体"/>
                <w:sz w:val="24"/>
              </w:rPr>
              <w:t>3.与学校现使用的计算机操作系统及办公软件兼容。</w:t>
            </w:r>
          </w:p>
          <w:p w14:paraId="619AD8DE">
            <w:pPr>
              <w:widowControl/>
              <w:spacing w:line="360" w:lineRule="auto"/>
              <w:jc w:val="left"/>
              <w:rPr>
                <w:rFonts w:ascii="宋体" w:hAnsi="宋体"/>
                <w:sz w:val="24"/>
              </w:rPr>
            </w:pPr>
            <w:r>
              <w:rPr>
                <w:rFonts w:hint="eastAsia" w:ascii="宋体" w:hAnsi="宋体"/>
                <w:sz w:val="24"/>
              </w:rPr>
              <w:t>4.涵盖范围:学校办公室、教室、实验室和图书馆等校园网场所的所有计算机包括师生电脑和笔记本</w:t>
            </w:r>
          </w:p>
          <w:p w14:paraId="0BDF720C">
            <w:pPr>
              <w:widowControl/>
              <w:spacing w:line="360" w:lineRule="auto"/>
              <w:jc w:val="left"/>
              <w:rPr>
                <w:rFonts w:ascii="宋体" w:hAnsi="宋体"/>
                <w:sz w:val="24"/>
              </w:rPr>
            </w:pPr>
            <w:r>
              <w:rPr>
                <w:rFonts w:hint="eastAsia" w:ascii="宋体" w:hAnsi="宋体"/>
                <w:sz w:val="24"/>
              </w:rPr>
              <w:t>5.服务有效期内，软件如有升级版本，授权对升级版本同样有效。</w:t>
            </w:r>
          </w:p>
          <w:p w14:paraId="4D75D5EA">
            <w:pPr>
              <w:widowControl/>
              <w:spacing w:line="360" w:lineRule="auto"/>
              <w:jc w:val="left"/>
              <w:rPr>
                <w:rFonts w:ascii="宋体" w:hAnsi="宋体"/>
                <w:sz w:val="24"/>
              </w:rPr>
            </w:pPr>
            <w:r>
              <w:rPr>
                <w:rFonts w:hint="eastAsia" w:ascii="宋体" w:hAnsi="宋体"/>
                <w:sz w:val="24"/>
              </w:rPr>
              <w:t>6.服务有效期间，所有新增计算机不再加收任何费用。</w:t>
            </w:r>
          </w:p>
          <w:p w14:paraId="0CFD27DE">
            <w:pPr>
              <w:widowControl/>
              <w:spacing w:line="360" w:lineRule="auto"/>
              <w:jc w:val="left"/>
              <w:rPr>
                <w:rFonts w:ascii="宋体" w:hAnsi="宋体"/>
                <w:sz w:val="24"/>
              </w:rPr>
            </w:pPr>
            <w:r>
              <w:rPr>
                <w:rFonts w:hint="eastAsia" w:ascii="宋体" w:hAnsi="宋体"/>
                <w:sz w:val="24"/>
              </w:rPr>
              <w:t>7.服务有效期内价格不得变动。</w:t>
            </w:r>
          </w:p>
        </w:tc>
        <w:tc>
          <w:tcPr>
            <w:tcW w:w="1202" w:type="dxa"/>
            <w:vAlign w:val="center"/>
          </w:tcPr>
          <w:p w14:paraId="4F9A7C71">
            <w:pPr>
              <w:widowControl/>
              <w:spacing w:line="360" w:lineRule="auto"/>
              <w:jc w:val="center"/>
              <w:rPr>
                <w:rFonts w:ascii="宋体" w:hAnsi="宋体"/>
                <w:sz w:val="24"/>
              </w:rPr>
            </w:pPr>
            <w:r>
              <w:rPr>
                <w:rFonts w:hint="eastAsia" w:ascii="宋体" w:hAnsi="宋体"/>
                <w:sz w:val="24"/>
              </w:rPr>
              <w:t>技术响应偏离表</w:t>
            </w:r>
          </w:p>
        </w:tc>
      </w:tr>
      <w:tr w14:paraId="3BC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76FFAF3E">
            <w:pPr>
              <w:spacing w:line="360" w:lineRule="auto"/>
              <w:jc w:val="center"/>
              <w:rPr>
                <w:rFonts w:ascii="宋体" w:hAnsi="宋体"/>
                <w:sz w:val="24"/>
              </w:rPr>
            </w:pPr>
            <w:r>
              <w:rPr>
                <w:rFonts w:hint="eastAsia" w:ascii="宋体" w:hAnsi="宋体"/>
                <w:sz w:val="24"/>
              </w:rPr>
              <w:t>2</w:t>
            </w:r>
          </w:p>
        </w:tc>
        <w:tc>
          <w:tcPr>
            <w:tcW w:w="1217" w:type="dxa"/>
            <w:vAlign w:val="center"/>
          </w:tcPr>
          <w:p w14:paraId="3538311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B773781">
            <w:pPr>
              <w:widowControl/>
              <w:spacing w:line="360" w:lineRule="auto"/>
              <w:jc w:val="center"/>
              <w:rPr>
                <w:rFonts w:ascii="宋体" w:hAnsi="宋体"/>
                <w:sz w:val="24"/>
              </w:rPr>
            </w:pPr>
            <w:r>
              <w:rPr>
                <w:rFonts w:hint="eastAsia" w:ascii="宋体" w:hAnsi="宋体"/>
                <w:sz w:val="24"/>
              </w:rPr>
              <w:t>操作系统（桌面系统）和办公软件（office）套件软件许可授权服务</w:t>
            </w:r>
          </w:p>
        </w:tc>
        <w:tc>
          <w:tcPr>
            <w:tcW w:w="3872" w:type="dxa"/>
            <w:vAlign w:val="center"/>
          </w:tcPr>
          <w:p w14:paraId="04017B2C">
            <w:pPr>
              <w:widowControl/>
              <w:spacing w:line="360" w:lineRule="auto"/>
              <w:jc w:val="left"/>
              <w:rPr>
                <w:rFonts w:ascii="宋体" w:hAnsi="宋体"/>
                <w:sz w:val="24"/>
              </w:rPr>
            </w:pPr>
            <w:r>
              <w:rPr>
                <w:rFonts w:hint="eastAsia" w:ascii="宋体" w:hAnsi="宋体"/>
                <w:sz w:val="24"/>
              </w:rPr>
              <w:t>功能和版本要求：</w:t>
            </w:r>
          </w:p>
          <w:p w14:paraId="4A4EF9C8">
            <w:pPr>
              <w:widowControl/>
              <w:spacing w:line="360" w:lineRule="auto"/>
              <w:jc w:val="left"/>
              <w:rPr>
                <w:rFonts w:ascii="宋体" w:hAnsi="宋体"/>
                <w:sz w:val="24"/>
              </w:rPr>
            </w:pPr>
            <w:r>
              <w:rPr>
                <w:rFonts w:hint="eastAsia" w:ascii="宋体" w:hAnsi="宋体"/>
                <w:sz w:val="24"/>
              </w:rPr>
              <w:t>1.操作系统（桌面系统）包括但不限于Windows11 专业版/Windows10 专业版/windows8.1 专业版/windows8 专业版及服务期内的升级版本使用；</w:t>
            </w:r>
          </w:p>
          <w:p w14:paraId="410340B4">
            <w:pPr>
              <w:widowControl/>
              <w:spacing w:line="360" w:lineRule="auto"/>
              <w:jc w:val="left"/>
              <w:rPr>
                <w:rFonts w:ascii="宋体" w:hAnsi="宋体"/>
                <w:sz w:val="24"/>
              </w:rPr>
            </w:pPr>
            <w:r>
              <w:rPr>
                <w:rFonts w:hint="eastAsia" w:ascii="宋体" w:hAnsi="宋体"/>
                <w:sz w:val="24"/>
              </w:rPr>
              <w:t>办公软件包括但不限于Office 办公软件2021 专业增强版/Office2019 专业增强版/Office2016 专业增强版/Office 2013 专业增强版/Office for mac 2021/Office for mac 2019 标准版/ Office formac 2016 标准版及服务期内的升级版本使用。</w:t>
            </w:r>
          </w:p>
          <w:p w14:paraId="04646342">
            <w:pPr>
              <w:widowControl/>
              <w:spacing w:line="360" w:lineRule="auto"/>
              <w:jc w:val="left"/>
              <w:rPr>
                <w:rFonts w:ascii="宋体" w:hAnsi="宋体"/>
                <w:sz w:val="24"/>
              </w:rPr>
            </w:pPr>
            <w:r>
              <w:rPr>
                <w:rFonts w:hint="eastAsia" w:ascii="宋体" w:hAnsi="宋体"/>
                <w:sz w:val="24"/>
              </w:rPr>
              <w:t>2.办公软件能分别服务于windows平台和mac平台。</w:t>
            </w:r>
          </w:p>
          <w:p w14:paraId="508DA9E3">
            <w:pPr>
              <w:widowControl/>
              <w:spacing w:line="360" w:lineRule="auto"/>
              <w:jc w:val="left"/>
              <w:rPr>
                <w:rFonts w:ascii="宋体" w:hAnsi="宋体"/>
                <w:sz w:val="24"/>
              </w:rPr>
            </w:pPr>
            <w:r>
              <w:rPr>
                <w:rFonts w:hint="eastAsia" w:ascii="宋体" w:hAnsi="宋体"/>
                <w:sz w:val="24"/>
              </w:rPr>
              <w:t>3.办公软件套件包括visio系列和project系列。</w:t>
            </w:r>
          </w:p>
          <w:p w14:paraId="033BBD75">
            <w:pPr>
              <w:widowControl/>
              <w:spacing w:line="360" w:lineRule="auto"/>
              <w:jc w:val="left"/>
              <w:rPr>
                <w:rFonts w:ascii="宋体" w:hAnsi="宋体"/>
                <w:sz w:val="24"/>
              </w:rPr>
            </w:pPr>
            <w:r>
              <w:rPr>
                <w:rFonts w:hint="eastAsia" w:ascii="宋体" w:hAnsi="宋体"/>
                <w:sz w:val="24"/>
              </w:rPr>
              <w:t>4.至少包括简体中文和英文版本。</w:t>
            </w:r>
          </w:p>
        </w:tc>
        <w:tc>
          <w:tcPr>
            <w:tcW w:w="1202" w:type="dxa"/>
            <w:vAlign w:val="center"/>
          </w:tcPr>
          <w:p w14:paraId="49EAF652">
            <w:pPr>
              <w:widowControl/>
              <w:spacing w:line="360" w:lineRule="auto"/>
              <w:jc w:val="center"/>
              <w:rPr>
                <w:rFonts w:ascii="宋体" w:hAnsi="宋体"/>
                <w:sz w:val="24"/>
              </w:rPr>
            </w:pPr>
            <w:r>
              <w:rPr>
                <w:rFonts w:hint="eastAsia" w:ascii="宋体" w:hAnsi="宋体"/>
                <w:sz w:val="24"/>
              </w:rPr>
              <w:t>技术响应偏离表</w:t>
            </w:r>
          </w:p>
        </w:tc>
      </w:tr>
      <w:tr w14:paraId="3729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7E5B2F6">
            <w:pPr>
              <w:spacing w:line="360" w:lineRule="auto"/>
              <w:jc w:val="center"/>
              <w:rPr>
                <w:rFonts w:ascii="宋体" w:hAnsi="宋体"/>
                <w:sz w:val="24"/>
              </w:rPr>
            </w:pPr>
            <w:r>
              <w:rPr>
                <w:rFonts w:hint="eastAsia" w:ascii="宋体" w:hAnsi="宋体"/>
                <w:sz w:val="24"/>
              </w:rPr>
              <w:t>3</w:t>
            </w:r>
          </w:p>
        </w:tc>
        <w:tc>
          <w:tcPr>
            <w:tcW w:w="1217" w:type="dxa"/>
            <w:vAlign w:val="center"/>
          </w:tcPr>
          <w:p w14:paraId="4ADED36C">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6977245">
            <w:pPr>
              <w:widowControl/>
              <w:spacing w:line="360" w:lineRule="auto"/>
              <w:jc w:val="center"/>
              <w:rPr>
                <w:rFonts w:ascii="宋体" w:hAnsi="宋体"/>
                <w:sz w:val="24"/>
              </w:rPr>
            </w:pPr>
            <w:r>
              <w:rPr>
                <w:rFonts w:hint="eastAsia" w:ascii="宋体" w:hAnsi="宋体"/>
                <w:sz w:val="24"/>
              </w:rPr>
              <w:t>服务器操作系统和数据库软件许可授权服务</w:t>
            </w:r>
          </w:p>
        </w:tc>
        <w:tc>
          <w:tcPr>
            <w:tcW w:w="3872" w:type="dxa"/>
            <w:vAlign w:val="center"/>
          </w:tcPr>
          <w:p w14:paraId="644FAC19">
            <w:pPr>
              <w:widowControl/>
              <w:spacing w:line="360" w:lineRule="auto"/>
              <w:jc w:val="left"/>
              <w:rPr>
                <w:rFonts w:ascii="宋体" w:hAnsi="宋体"/>
                <w:sz w:val="24"/>
              </w:rPr>
            </w:pPr>
            <w:r>
              <w:rPr>
                <w:rFonts w:hint="eastAsia" w:ascii="宋体" w:hAnsi="宋体"/>
                <w:sz w:val="24"/>
              </w:rPr>
              <w:t>基本要求：</w:t>
            </w:r>
          </w:p>
          <w:p w14:paraId="521515C3">
            <w:pPr>
              <w:widowControl/>
              <w:spacing w:line="360" w:lineRule="auto"/>
              <w:jc w:val="left"/>
              <w:rPr>
                <w:rFonts w:ascii="宋体" w:hAnsi="宋体"/>
                <w:sz w:val="24"/>
              </w:rPr>
            </w:pPr>
            <w:r>
              <w:rPr>
                <w:rFonts w:hint="eastAsia" w:ascii="宋体" w:hAnsi="宋体"/>
                <w:sz w:val="24"/>
              </w:rPr>
              <w:t>1.授权方式：校园正版协议</w:t>
            </w:r>
          </w:p>
          <w:p w14:paraId="5A855295">
            <w:pPr>
              <w:widowControl/>
              <w:spacing w:line="360" w:lineRule="auto"/>
              <w:jc w:val="left"/>
              <w:rPr>
                <w:rFonts w:ascii="宋体" w:hAnsi="宋体"/>
                <w:sz w:val="24"/>
              </w:rPr>
            </w:pPr>
            <w:r>
              <w:rPr>
                <w:rFonts w:hint="eastAsia" w:ascii="宋体" w:hAnsi="宋体"/>
                <w:sz w:val="24"/>
              </w:rPr>
              <w:t>2.涵盖范围：学校数据中心机房</w:t>
            </w:r>
          </w:p>
          <w:p w14:paraId="47D77CD3">
            <w:pPr>
              <w:widowControl/>
              <w:spacing w:line="360" w:lineRule="auto"/>
              <w:jc w:val="left"/>
              <w:rPr>
                <w:rFonts w:ascii="宋体" w:hAnsi="宋体"/>
                <w:sz w:val="24"/>
              </w:rPr>
            </w:pPr>
            <w:r>
              <w:rPr>
                <w:rFonts w:hint="eastAsia" w:ascii="宋体" w:hAnsi="宋体"/>
                <w:sz w:val="24"/>
              </w:rPr>
              <w:t>3.服务有效期内，软件如有升级版本，授权对升级版本同样有效。</w:t>
            </w:r>
          </w:p>
          <w:p w14:paraId="741F135C">
            <w:pPr>
              <w:widowControl/>
              <w:spacing w:line="360" w:lineRule="auto"/>
              <w:jc w:val="left"/>
              <w:rPr>
                <w:rFonts w:ascii="宋体" w:hAnsi="宋体"/>
                <w:sz w:val="24"/>
              </w:rPr>
            </w:pPr>
            <w:r>
              <w:rPr>
                <w:rFonts w:hint="eastAsia" w:ascii="宋体" w:hAnsi="宋体"/>
                <w:sz w:val="24"/>
              </w:rPr>
              <w:t>4.服务有效期间，所有新增计算机不再加收任何费用。</w:t>
            </w:r>
          </w:p>
          <w:p w14:paraId="6F9A8FCE">
            <w:pPr>
              <w:widowControl/>
              <w:spacing w:line="360" w:lineRule="auto"/>
              <w:jc w:val="left"/>
              <w:rPr>
                <w:rFonts w:ascii="宋体" w:hAnsi="宋体"/>
                <w:sz w:val="24"/>
              </w:rPr>
            </w:pPr>
            <w:r>
              <w:rPr>
                <w:rFonts w:hint="eastAsia" w:ascii="宋体" w:hAnsi="宋体"/>
                <w:sz w:val="24"/>
              </w:rPr>
              <w:t>5.服务有效期内价格不得变动。</w:t>
            </w:r>
          </w:p>
        </w:tc>
        <w:tc>
          <w:tcPr>
            <w:tcW w:w="1202" w:type="dxa"/>
            <w:vAlign w:val="center"/>
          </w:tcPr>
          <w:p w14:paraId="1409C11E">
            <w:pPr>
              <w:widowControl/>
              <w:spacing w:line="360" w:lineRule="auto"/>
              <w:jc w:val="center"/>
              <w:rPr>
                <w:rFonts w:ascii="宋体" w:hAnsi="宋体"/>
                <w:sz w:val="24"/>
              </w:rPr>
            </w:pPr>
            <w:r>
              <w:rPr>
                <w:rFonts w:hint="eastAsia" w:ascii="宋体" w:hAnsi="宋体"/>
                <w:sz w:val="24"/>
              </w:rPr>
              <w:t>技术响应偏离表</w:t>
            </w:r>
          </w:p>
        </w:tc>
      </w:tr>
      <w:tr w14:paraId="62D5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D8554CF">
            <w:pPr>
              <w:spacing w:line="360" w:lineRule="auto"/>
              <w:jc w:val="center"/>
              <w:rPr>
                <w:rFonts w:ascii="宋体" w:hAnsi="宋体"/>
                <w:sz w:val="24"/>
              </w:rPr>
            </w:pPr>
            <w:r>
              <w:rPr>
                <w:rFonts w:hint="eastAsia" w:ascii="宋体" w:hAnsi="宋体"/>
                <w:sz w:val="24"/>
              </w:rPr>
              <w:t>4</w:t>
            </w:r>
          </w:p>
        </w:tc>
        <w:tc>
          <w:tcPr>
            <w:tcW w:w="1217" w:type="dxa"/>
            <w:vAlign w:val="center"/>
          </w:tcPr>
          <w:p w14:paraId="69D9AB9C">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E40D671">
            <w:pPr>
              <w:widowControl/>
              <w:spacing w:line="360" w:lineRule="auto"/>
              <w:jc w:val="center"/>
              <w:rPr>
                <w:rFonts w:ascii="宋体" w:hAnsi="宋体"/>
                <w:sz w:val="24"/>
              </w:rPr>
            </w:pPr>
            <w:r>
              <w:rPr>
                <w:rFonts w:hint="eastAsia" w:ascii="宋体" w:hAnsi="宋体"/>
                <w:sz w:val="24"/>
              </w:rPr>
              <w:t>服务器操作系统和数据库软件许可授权服务</w:t>
            </w:r>
          </w:p>
        </w:tc>
        <w:tc>
          <w:tcPr>
            <w:tcW w:w="3872" w:type="dxa"/>
            <w:vAlign w:val="center"/>
          </w:tcPr>
          <w:p w14:paraId="5B9CA046">
            <w:pPr>
              <w:widowControl/>
              <w:spacing w:line="360" w:lineRule="auto"/>
              <w:jc w:val="left"/>
              <w:rPr>
                <w:rFonts w:ascii="宋体" w:hAnsi="宋体"/>
                <w:sz w:val="24"/>
              </w:rPr>
            </w:pPr>
            <w:r>
              <w:rPr>
                <w:rFonts w:hint="eastAsia" w:ascii="宋体" w:hAnsi="宋体"/>
                <w:sz w:val="24"/>
              </w:rPr>
              <w:t>功能和版本要求：</w:t>
            </w:r>
          </w:p>
          <w:p w14:paraId="5A9FB4C1">
            <w:pPr>
              <w:widowControl/>
              <w:spacing w:line="360" w:lineRule="auto"/>
              <w:jc w:val="left"/>
              <w:rPr>
                <w:rFonts w:ascii="宋体" w:hAnsi="宋体"/>
                <w:sz w:val="24"/>
              </w:rPr>
            </w:pPr>
            <w:r>
              <w:rPr>
                <w:rFonts w:hint="eastAsia" w:ascii="宋体" w:hAnsi="宋体"/>
                <w:sz w:val="24"/>
              </w:rPr>
              <w:t>1.服务器操作系统包括Windows Server 2012/Windows Server 2012 R2/Windows Server 2016/ Windows Server 2019/ Windows Server 2022 标准版和数据中心版；</w:t>
            </w:r>
          </w:p>
          <w:p w14:paraId="6E528C0B">
            <w:pPr>
              <w:widowControl/>
              <w:spacing w:line="360" w:lineRule="auto"/>
              <w:jc w:val="left"/>
              <w:rPr>
                <w:rFonts w:ascii="宋体" w:hAnsi="宋体"/>
                <w:sz w:val="24"/>
              </w:rPr>
            </w:pPr>
            <w:r>
              <w:rPr>
                <w:rFonts w:hint="eastAsia" w:ascii="宋体" w:hAnsi="宋体"/>
                <w:sz w:val="24"/>
              </w:rPr>
              <w:t>数据库软件包括Sql Server 2012/ Sql Server 2014/Sql Server 2017/ Sql Server 2019 或以上标准版</w:t>
            </w:r>
          </w:p>
          <w:p w14:paraId="73A05C8D">
            <w:pPr>
              <w:widowControl/>
              <w:spacing w:line="360" w:lineRule="auto"/>
              <w:jc w:val="left"/>
              <w:rPr>
                <w:rFonts w:ascii="宋体" w:hAnsi="宋体"/>
                <w:sz w:val="24"/>
              </w:rPr>
            </w:pPr>
            <w:r>
              <w:rPr>
                <w:rFonts w:hint="eastAsia" w:ascii="宋体" w:hAnsi="宋体"/>
                <w:sz w:val="24"/>
              </w:rPr>
              <w:t>2.项目中所提供产品为原厂正版授权许可。</w:t>
            </w:r>
          </w:p>
          <w:p w14:paraId="48CD960B">
            <w:pPr>
              <w:widowControl/>
              <w:spacing w:line="360" w:lineRule="auto"/>
              <w:jc w:val="left"/>
              <w:rPr>
                <w:rFonts w:ascii="宋体" w:hAnsi="宋体"/>
                <w:sz w:val="24"/>
              </w:rPr>
            </w:pPr>
            <w:r>
              <w:rPr>
                <w:rFonts w:hint="eastAsia" w:ascii="宋体" w:hAnsi="宋体"/>
                <w:sz w:val="24"/>
              </w:rPr>
              <w:t>3.项目所提供产品需匹配原厂对应产品标准功能，实现自由灵活的升降级。</w:t>
            </w:r>
          </w:p>
          <w:p w14:paraId="1DA70253">
            <w:pPr>
              <w:widowControl/>
              <w:spacing w:line="360" w:lineRule="auto"/>
              <w:jc w:val="left"/>
              <w:rPr>
                <w:rFonts w:ascii="宋体" w:hAnsi="宋体"/>
                <w:sz w:val="24"/>
              </w:rPr>
            </w:pPr>
            <w:r>
              <w:rPr>
                <w:rFonts w:hint="eastAsia" w:ascii="宋体" w:hAnsi="宋体"/>
                <w:sz w:val="24"/>
              </w:rPr>
              <w:t>4.至少包括简体中文和英文版本。</w:t>
            </w:r>
          </w:p>
        </w:tc>
        <w:tc>
          <w:tcPr>
            <w:tcW w:w="1202" w:type="dxa"/>
            <w:vAlign w:val="center"/>
          </w:tcPr>
          <w:p w14:paraId="6CEFB655">
            <w:pPr>
              <w:widowControl/>
              <w:spacing w:line="360" w:lineRule="auto"/>
              <w:jc w:val="center"/>
              <w:rPr>
                <w:rFonts w:ascii="宋体" w:hAnsi="宋体"/>
                <w:sz w:val="24"/>
              </w:rPr>
            </w:pPr>
            <w:r>
              <w:rPr>
                <w:rFonts w:hint="eastAsia" w:ascii="宋体" w:hAnsi="宋体"/>
                <w:sz w:val="24"/>
              </w:rPr>
              <w:t>技术响应偏离表</w:t>
            </w:r>
          </w:p>
        </w:tc>
      </w:tr>
      <w:tr w14:paraId="7E8B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72DB565D">
            <w:pPr>
              <w:spacing w:line="360" w:lineRule="auto"/>
              <w:jc w:val="center"/>
              <w:rPr>
                <w:rFonts w:ascii="宋体" w:hAnsi="宋体"/>
                <w:sz w:val="24"/>
              </w:rPr>
            </w:pPr>
            <w:r>
              <w:rPr>
                <w:rFonts w:hint="eastAsia" w:ascii="宋体" w:hAnsi="宋体"/>
                <w:sz w:val="24"/>
              </w:rPr>
              <w:t>5</w:t>
            </w:r>
          </w:p>
        </w:tc>
        <w:tc>
          <w:tcPr>
            <w:tcW w:w="1217" w:type="dxa"/>
            <w:vAlign w:val="center"/>
          </w:tcPr>
          <w:p w14:paraId="33EC54DA">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F0D7B9D">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61D15096">
            <w:pPr>
              <w:widowControl/>
              <w:spacing w:line="360" w:lineRule="auto"/>
              <w:jc w:val="left"/>
              <w:rPr>
                <w:rFonts w:ascii="宋体" w:hAnsi="宋体"/>
                <w:sz w:val="24"/>
              </w:rPr>
            </w:pPr>
            <w:r>
              <w:rPr>
                <w:rFonts w:hint="eastAsia" w:ascii="宋体" w:hAnsi="宋体" w:cs="宋体"/>
                <w:kern w:val="0"/>
                <w:sz w:val="24"/>
              </w:rPr>
              <w:t>软件管理与服务平台应当支持部署在学校，且支持私有云平台部署。</w:t>
            </w:r>
          </w:p>
        </w:tc>
        <w:tc>
          <w:tcPr>
            <w:tcW w:w="1202" w:type="dxa"/>
            <w:vAlign w:val="center"/>
          </w:tcPr>
          <w:p w14:paraId="3A9AC4E0">
            <w:pPr>
              <w:widowControl/>
              <w:spacing w:line="360" w:lineRule="auto"/>
              <w:jc w:val="center"/>
              <w:rPr>
                <w:rFonts w:ascii="宋体" w:hAnsi="宋体"/>
                <w:sz w:val="24"/>
              </w:rPr>
            </w:pPr>
            <w:r>
              <w:rPr>
                <w:rFonts w:hint="eastAsia" w:ascii="宋体" w:hAnsi="宋体"/>
                <w:sz w:val="24"/>
              </w:rPr>
              <w:t>技术响应偏离表</w:t>
            </w:r>
          </w:p>
        </w:tc>
      </w:tr>
      <w:tr w14:paraId="52AB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D0EA4F2">
            <w:pPr>
              <w:spacing w:line="360" w:lineRule="auto"/>
              <w:jc w:val="center"/>
              <w:rPr>
                <w:rFonts w:ascii="宋体" w:hAnsi="宋体"/>
                <w:sz w:val="24"/>
              </w:rPr>
            </w:pPr>
            <w:r>
              <w:rPr>
                <w:rFonts w:hint="eastAsia" w:ascii="宋体" w:hAnsi="宋体"/>
                <w:sz w:val="24"/>
              </w:rPr>
              <w:t>6</w:t>
            </w:r>
          </w:p>
        </w:tc>
        <w:tc>
          <w:tcPr>
            <w:tcW w:w="1217" w:type="dxa"/>
            <w:vAlign w:val="center"/>
          </w:tcPr>
          <w:p w14:paraId="33E214B1">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F8870F2">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27FA3BF">
            <w:pPr>
              <w:widowControl/>
              <w:spacing w:line="360" w:lineRule="auto"/>
              <w:jc w:val="left"/>
              <w:rPr>
                <w:rFonts w:ascii="宋体" w:hAnsi="宋体"/>
                <w:sz w:val="24"/>
              </w:rPr>
            </w:pPr>
            <w:r>
              <w:rPr>
                <w:rFonts w:hint="eastAsia" w:ascii="宋体" w:hAnsi="宋体" w:cs="宋体"/>
                <w:kern w:val="0"/>
                <w:sz w:val="24"/>
              </w:rPr>
              <w:t>软件管理与服务平台应是基于B/S技术架构。</w:t>
            </w:r>
          </w:p>
        </w:tc>
        <w:tc>
          <w:tcPr>
            <w:tcW w:w="1202" w:type="dxa"/>
            <w:vAlign w:val="center"/>
          </w:tcPr>
          <w:p w14:paraId="7222E688">
            <w:pPr>
              <w:widowControl/>
              <w:spacing w:line="360" w:lineRule="auto"/>
              <w:jc w:val="center"/>
              <w:rPr>
                <w:rFonts w:ascii="宋体" w:hAnsi="宋体"/>
                <w:sz w:val="24"/>
              </w:rPr>
            </w:pPr>
            <w:r>
              <w:rPr>
                <w:rFonts w:hint="eastAsia" w:ascii="宋体" w:hAnsi="宋体"/>
                <w:sz w:val="24"/>
              </w:rPr>
              <w:t>技术响应偏离表</w:t>
            </w:r>
          </w:p>
        </w:tc>
      </w:tr>
      <w:tr w14:paraId="342C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CF7463A">
            <w:pPr>
              <w:spacing w:line="360" w:lineRule="auto"/>
              <w:jc w:val="center"/>
              <w:rPr>
                <w:rFonts w:ascii="宋体" w:hAnsi="宋体"/>
                <w:sz w:val="24"/>
              </w:rPr>
            </w:pPr>
            <w:r>
              <w:rPr>
                <w:rFonts w:hint="eastAsia" w:ascii="宋体" w:hAnsi="宋体"/>
                <w:sz w:val="24"/>
              </w:rPr>
              <w:t>7</w:t>
            </w:r>
          </w:p>
        </w:tc>
        <w:tc>
          <w:tcPr>
            <w:tcW w:w="1217" w:type="dxa"/>
            <w:vAlign w:val="center"/>
          </w:tcPr>
          <w:p w14:paraId="060434B0">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F01A747">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4EE916C7">
            <w:pPr>
              <w:widowControl/>
              <w:spacing w:line="360" w:lineRule="auto"/>
              <w:jc w:val="left"/>
              <w:rPr>
                <w:rFonts w:ascii="宋体" w:hAnsi="宋体"/>
                <w:sz w:val="24"/>
              </w:rPr>
            </w:pPr>
            <w:bookmarkStart w:id="0" w:name="RANGE!A11"/>
            <w:r>
              <w:rPr>
                <w:rFonts w:hint="eastAsia" w:ascii="宋体" w:hAnsi="宋体" w:cs="宋体"/>
                <w:kern w:val="0"/>
                <w:sz w:val="24"/>
              </w:rPr>
              <w:t>软件管理与服务平台需要采用统一的标准接口开发，需要能与本校的统一身份认证系统进行对接，对接方式包括（但不限于）单点登录，支持中间表方式对用户信息进行对接。</w:t>
            </w:r>
            <w:bookmarkEnd w:id="0"/>
          </w:p>
        </w:tc>
        <w:tc>
          <w:tcPr>
            <w:tcW w:w="1202" w:type="dxa"/>
            <w:vAlign w:val="center"/>
          </w:tcPr>
          <w:p w14:paraId="67C77321">
            <w:pPr>
              <w:widowControl/>
              <w:spacing w:line="360" w:lineRule="auto"/>
              <w:jc w:val="center"/>
              <w:rPr>
                <w:rFonts w:ascii="宋体" w:hAnsi="宋体"/>
                <w:sz w:val="24"/>
              </w:rPr>
            </w:pPr>
            <w:r>
              <w:rPr>
                <w:rFonts w:hint="eastAsia" w:ascii="宋体" w:hAnsi="宋体"/>
                <w:sz w:val="24"/>
              </w:rPr>
              <w:t>技术响应偏离表</w:t>
            </w:r>
          </w:p>
        </w:tc>
      </w:tr>
      <w:tr w14:paraId="22F8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BE0D058">
            <w:pPr>
              <w:spacing w:line="360" w:lineRule="auto"/>
              <w:jc w:val="center"/>
              <w:rPr>
                <w:rFonts w:ascii="宋体" w:hAnsi="宋体"/>
                <w:sz w:val="24"/>
              </w:rPr>
            </w:pPr>
            <w:r>
              <w:rPr>
                <w:rFonts w:hint="eastAsia" w:ascii="宋体" w:hAnsi="宋体"/>
                <w:sz w:val="24"/>
              </w:rPr>
              <w:t>8</w:t>
            </w:r>
          </w:p>
        </w:tc>
        <w:tc>
          <w:tcPr>
            <w:tcW w:w="1217" w:type="dxa"/>
            <w:vAlign w:val="center"/>
          </w:tcPr>
          <w:p w14:paraId="446CBE0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DB8EAED">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70794623">
            <w:pPr>
              <w:widowControl/>
              <w:spacing w:line="360" w:lineRule="auto"/>
              <w:jc w:val="left"/>
              <w:rPr>
                <w:rFonts w:ascii="宋体" w:hAnsi="宋体"/>
                <w:sz w:val="24"/>
              </w:rPr>
            </w:pPr>
            <w:bookmarkStart w:id="1" w:name="RANGE!A12"/>
            <w:r>
              <w:rPr>
                <w:rFonts w:hint="eastAsia" w:ascii="宋体" w:hAnsi="宋体" w:cs="宋体"/>
                <w:kern w:val="0"/>
                <w:sz w:val="24"/>
              </w:rPr>
              <w:t>软件管理与服务平台需要自带独立的用户管理系统，以便在软件管理与服务平台内可以实现独立设置用户在软件管理与服务平台中的使用权限。能支持在软件资源管理与服务平台内对用户信息进行编辑。</w:t>
            </w:r>
            <w:bookmarkEnd w:id="1"/>
          </w:p>
        </w:tc>
        <w:tc>
          <w:tcPr>
            <w:tcW w:w="1202" w:type="dxa"/>
            <w:vAlign w:val="center"/>
          </w:tcPr>
          <w:p w14:paraId="4B4918F5">
            <w:pPr>
              <w:widowControl/>
              <w:spacing w:line="360" w:lineRule="auto"/>
              <w:jc w:val="center"/>
              <w:rPr>
                <w:rFonts w:ascii="宋体" w:hAnsi="宋体"/>
                <w:sz w:val="24"/>
              </w:rPr>
            </w:pPr>
            <w:r>
              <w:rPr>
                <w:rFonts w:hint="eastAsia" w:ascii="宋体" w:hAnsi="宋体"/>
                <w:sz w:val="24"/>
              </w:rPr>
              <w:t>技术响应偏离表</w:t>
            </w:r>
          </w:p>
        </w:tc>
      </w:tr>
      <w:tr w14:paraId="497B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A91355D">
            <w:pPr>
              <w:spacing w:line="360" w:lineRule="auto"/>
              <w:jc w:val="center"/>
              <w:rPr>
                <w:rFonts w:ascii="宋体" w:hAnsi="宋体"/>
                <w:sz w:val="24"/>
              </w:rPr>
            </w:pPr>
            <w:r>
              <w:rPr>
                <w:rFonts w:hint="eastAsia" w:ascii="宋体" w:hAnsi="宋体"/>
                <w:sz w:val="24"/>
              </w:rPr>
              <w:t>9</w:t>
            </w:r>
          </w:p>
        </w:tc>
        <w:tc>
          <w:tcPr>
            <w:tcW w:w="1217" w:type="dxa"/>
            <w:vAlign w:val="center"/>
          </w:tcPr>
          <w:p w14:paraId="3FABBE5B">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F1EC9AF">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0A52D18">
            <w:pPr>
              <w:widowControl/>
              <w:spacing w:line="360" w:lineRule="auto"/>
              <w:jc w:val="left"/>
              <w:rPr>
                <w:rFonts w:ascii="宋体" w:hAnsi="宋体"/>
                <w:sz w:val="24"/>
              </w:rPr>
            </w:pPr>
            <w:bookmarkStart w:id="2" w:name="RANGE!A13"/>
            <w:r>
              <w:rPr>
                <w:rFonts w:hint="eastAsia" w:ascii="宋体" w:hAnsi="宋体" w:cs="宋体"/>
                <w:kern w:val="0"/>
                <w:sz w:val="24"/>
              </w:rPr>
              <w:t>软件管理与服务平台需要支持多级部门管理，且每级部门可以单独设置管理员来管理本部门的下级部门和用户的权限和激活次数的分配。</w:t>
            </w:r>
            <w:bookmarkEnd w:id="2"/>
          </w:p>
        </w:tc>
        <w:tc>
          <w:tcPr>
            <w:tcW w:w="1202" w:type="dxa"/>
            <w:vAlign w:val="center"/>
          </w:tcPr>
          <w:p w14:paraId="3D4013ED">
            <w:pPr>
              <w:widowControl/>
              <w:spacing w:line="360" w:lineRule="auto"/>
              <w:jc w:val="center"/>
              <w:rPr>
                <w:rFonts w:ascii="宋体" w:hAnsi="宋体"/>
                <w:sz w:val="24"/>
              </w:rPr>
            </w:pPr>
            <w:r>
              <w:rPr>
                <w:rFonts w:hint="eastAsia" w:ascii="宋体" w:hAnsi="宋体"/>
                <w:sz w:val="24"/>
              </w:rPr>
              <w:t>技术响应偏离表</w:t>
            </w:r>
          </w:p>
        </w:tc>
      </w:tr>
      <w:tr w14:paraId="590C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A033B19">
            <w:pPr>
              <w:spacing w:line="360" w:lineRule="auto"/>
              <w:jc w:val="center"/>
              <w:rPr>
                <w:rFonts w:ascii="宋体" w:hAnsi="宋体"/>
                <w:sz w:val="24"/>
              </w:rPr>
            </w:pPr>
            <w:r>
              <w:rPr>
                <w:rFonts w:hint="eastAsia" w:ascii="宋体" w:hAnsi="宋体"/>
                <w:sz w:val="24"/>
              </w:rPr>
              <w:t>10</w:t>
            </w:r>
          </w:p>
        </w:tc>
        <w:tc>
          <w:tcPr>
            <w:tcW w:w="1217" w:type="dxa"/>
            <w:vAlign w:val="center"/>
          </w:tcPr>
          <w:p w14:paraId="37C8A7C0">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6EC2F21">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412ED06B">
            <w:pPr>
              <w:widowControl/>
              <w:spacing w:line="360" w:lineRule="auto"/>
              <w:jc w:val="left"/>
              <w:rPr>
                <w:rFonts w:ascii="宋体" w:hAnsi="宋体"/>
                <w:sz w:val="24"/>
              </w:rPr>
            </w:pPr>
            <w:bookmarkStart w:id="3" w:name="RANGE!A14"/>
            <w:r>
              <w:rPr>
                <w:rFonts w:hint="eastAsia" w:ascii="宋体" w:hAnsi="宋体" w:cs="宋体"/>
                <w:kern w:val="0"/>
                <w:sz w:val="24"/>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bookmarkEnd w:id="3"/>
          </w:p>
        </w:tc>
        <w:tc>
          <w:tcPr>
            <w:tcW w:w="1202" w:type="dxa"/>
            <w:vAlign w:val="center"/>
          </w:tcPr>
          <w:p w14:paraId="661B4BD5">
            <w:pPr>
              <w:widowControl/>
              <w:spacing w:line="360" w:lineRule="auto"/>
              <w:jc w:val="center"/>
              <w:rPr>
                <w:rFonts w:ascii="宋体" w:hAnsi="宋体"/>
                <w:sz w:val="24"/>
              </w:rPr>
            </w:pPr>
            <w:r>
              <w:rPr>
                <w:rFonts w:hint="eastAsia" w:ascii="宋体" w:hAnsi="宋体"/>
                <w:sz w:val="24"/>
              </w:rPr>
              <w:t>技术响应偏离表</w:t>
            </w:r>
          </w:p>
        </w:tc>
      </w:tr>
      <w:tr w14:paraId="1D53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0A038A1">
            <w:pPr>
              <w:spacing w:line="360" w:lineRule="auto"/>
              <w:jc w:val="center"/>
              <w:rPr>
                <w:rFonts w:ascii="宋体" w:hAnsi="宋体"/>
                <w:sz w:val="24"/>
              </w:rPr>
            </w:pPr>
            <w:r>
              <w:rPr>
                <w:rFonts w:hint="eastAsia" w:ascii="宋体" w:hAnsi="宋体"/>
                <w:sz w:val="24"/>
              </w:rPr>
              <w:t>11</w:t>
            </w:r>
          </w:p>
        </w:tc>
        <w:tc>
          <w:tcPr>
            <w:tcW w:w="1217" w:type="dxa"/>
            <w:vAlign w:val="center"/>
          </w:tcPr>
          <w:p w14:paraId="090B6D63">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90320E7">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ECC793C">
            <w:pPr>
              <w:widowControl/>
              <w:spacing w:line="360" w:lineRule="auto"/>
              <w:jc w:val="left"/>
              <w:rPr>
                <w:rFonts w:ascii="宋体" w:hAnsi="宋体"/>
                <w:sz w:val="24"/>
              </w:rPr>
            </w:pPr>
            <w:bookmarkStart w:id="4" w:name="RANGE!A15"/>
            <w:r>
              <w:rPr>
                <w:rFonts w:hint="eastAsia" w:ascii="宋体" w:hAnsi="宋体" w:cs="宋体"/>
                <w:kern w:val="0"/>
                <w:sz w:val="24"/>
              </w:rPr>
              <w:t>授权模式，用户的激活次数授权模式也应当符合多级部门管理的模式，即，本级部门的激活数量上限，是分配给下级部门及用户的激活次数的上限。</w:t>
            </w:r>
            <w:bookmarkEnd w:id="4"/>
          </w:p>
        </w:tc>
        <w:tc>
          <w:tcPr>
            <w:tcW w:w="1202" w:type="dxa"/>
            <w:vAlign w:val="center"/>
          </w:tcPr>
          <w:p w14:paraId="1C02D9DF">
            <w:pPr>
              <w:widowControl/>
              <w:spacing w:line="360" w:lineRule="auto"/>
              <w:jc w:val="center"/>
              <w:rPr>
                <w:rFonts w:ascii="宋体" w:hAnsi="宋体"/>
                <w:sz w:val="24"/>
              </w:rPr>
            </w:pPr>
            <w:r>
              <w:rPr>
                <w:rFonts w:hint="eastAsia" w:ascii="宋体" w:hAnsi="宋体"/>
                <w:sz w:val="24"/>
              </w:rPr>
              <w:t>技术响应偏离表</w:t>
            </w:r>
          </w:p>
        </w:tc>
      </w:tr>
      <w:tr w14:paraId="1DF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F86CF3D">
            <w:pPr>
              <w:spacing w:line="360" w:lineRule="auto"/>
              <w:jc w:val="center"/>
              <w:rPr>
                <w:rFonts w:ascii="宋体" w:hAnsi="宋体"/>
                <w:sz w:val="24"/>
              </w:rPr>
            </w:pPr>
            <w:r>
              <w:rPr>
                <w:rFonts w:hint="eastAsia" w:ascii="宋体" w:hAnsi="宋体"/>
                <w:sz w:val="24"/>
              </w:rPr>
              <w:t>12</w:t>
            </w:r>
          </w:p>
        </w:tc>
        <w:tc>
          <w:tcPr>
            <w:tcW w:w="1217" w:type="dxa"/>
            <w:vAlign w:val="center"/>
          </w:tcPr>
          <w:p w14:paraId="58260DB9">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8700569">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DF58277">
            <w:pPr>
              <w:widowControl/>
              <w:spacing w:line="360" w:lineRule="auto"/>
              <w:jc w:val="left"/>
              <w:rPr>
                <w:rFonts w:ascii="宋体" w:hAnsi="宋体"/>
                <w:sz w:val="24"/>
              </w:rPr>
            </w:pPr>
            <w:bookmarkStart w:id="5" w:name="RANGE!A16"/>
            <w:r>
              <w:rPr>
                <w:rFonts w:hint="eastAsia" w:ascii="宋体" w:hAnsi="宋体" w:cs="宋体"/>
                <w:kern w:val="0"/>
                <w:sz w:val="24"/>
              </w:rPr>
              <w:t>激活方式，在用户使用统一身份认证系统账号密码登录以后，直接通过点击即可完成整个激活操作，无需用户记忆任何其他激活码和代码。且一旦发生激活问题，激活客户端应当给出简单快捷的解决方案。</w:t>
            </w:r>
            <w:bookmarkEnd w:id="5"/>
          </w:p>
        </w:tc>
        <w:tc>
          <w:tcPr>
            <w:tcW w:w="1202" w:type="dxa"/>
            <w:vAlign w:val="center"/>
          </w:tcPr>
          <w:p w14:paraId="0F0B6696">
            <w:pPr>
              <w:widowControl/>
              <w:spacing w:line="360" w:lineRule="auto"/>
              <w:jc w:val="center"/>
              <w:rPr>
                <w:rFonts w:ascii="宋体" w:hAnsi="宋体"/>
                <w:sz w:val="24"/>
              </w:rPr>
            </w:pPr>
            <w:r>
              <w:rPr>
                <w:rFonts w:hint="eastAsia" w:ascii="宋体" w:hAnsi="宋体"/>
                <w:sz w:val="24"/>
              </w:rPr>
              <w:t>技术响应偏离表</w:t>
            </w:r>
          </w:p>
        </w:tc>
      </w:tr>
      <w:tr w14:paraId="4DF3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838BA16">
            <w:pPr>
              <w:spacing w:line="360" w:lineRule="auto"/>
              <w:jc w:val="center"/>
              <w:rPr>
                <w:rFonts w:ascii="宋体" w:hAnsi="宋体"/>
                <w:sz w:val="24"/>
              </w:rPr>
            </w:pPr>
            <w:r>
              <w:rPr>
                <w:rFonts w:hint="eastAsia" w:ascii="宋体" w:hAnsi="宋体"/>
                <w:sz w:val="24"/>
              </w:rPr>
              <w:t>13</w:t>
            </w:r>
          </w:p>
        </w:tc>
        <w:tc>
          <w:tcPr>
            <w:tcW w:w="1217" w:type="dxa"/>
            <w:vAlign w:val="center"/>
          </w:tcPr>
          <w:p w14:paraId="51B545C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430050ED">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5E572DE3">
            <w:pPr>
              <w:widowControl/>
              <w:spacing w:line="360" w:lineRule="auto"/>
              <w:jc w:val="left"/>
              <w:rPr>
                <w:rFonts w:ascii="宋体" w:hAnsi="宋体"/>
                <w:sz w:val="24"/>
              </w:rPr>
            </w:pPr>
            <w:bookmarkStart w:id="6" w:name="RANGE!A17"/>
            <w:r>
              <w:rPr>
                <w:rFonts w:hint="eastAsia" w:ascii="宋体" w:hAnsi="宋体" w:cs="宋体"/>
                <w:kern w:val="0"/>
                <w:sz w:val="24"/>
              </w:rPr>
              <w:t>软件管理与服务平台应当支持实验室、机房等大批量的计算机激活，激活过程中，机房的客户机需要能在无人干预的情况下自动完成激活操作。</w:t>
            </w:r>
            <w:bookmarkEnd w:id="6"/>
          </w:p>
        </w:tc>
        <w:tc>
          <w:tcPr>
            <w:tcW w:w="1202" w:type="dxa"/>
            <w:vAlign w:val="center"/>
          </w:tcPr>
          <w:p w14:paraId="2EEFC033">
            <w:pPr>
              <w:widowControl/>
              <w:spacing w:line="360" w:lineRule="auto"/>
              <w:jc w:val="center"/>
              <w:rPr>
                <w:rFonts w:ascii="宋体" w:hAnsi="宋体"/>
                <w:sz w:val="24"/>
              </w:rPr>
            </w:pPr>
            <w:r>
              <w:rPr>
                <w:rFonts w:hint="eastAsia" w:ascii="宋体" w:hAnsi="宋体"/>
                <w:sz w:val="24"/>
              </w:rPr>
              <w:t>技术响应偏离表</w:t>
            </w:r>
          </w:p>
        </w:tc>
      </w:tr>
      <w:tr w14:paraId="203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1DF1A413">
            <w:pPr>
              <w:spacing w:line="360" w:lineRule="auto"/>
              <w:jc w:val="center"/>
              <w:rPr>
                <w:rFonts w:ascii="宋体" w:hAnsi="宋体"/>
                <w:sz w:val="24"/>
              </w:rPr>
            </w:pPr>
            <w:r>
              <w:rPr>
                <w:rFonts w:hint="eastAsia" w:ascii="宋体" w:hAnsi="宋体"/>
                <w:sz w:val="24"/>
              </w:rPr>
              <w:t>14</w:t>
            </w:r>
          </w:p>
        </w:tc>
        <w:tc>
          <w:tcPr>
            <w:tcW w:w="1217" w:type="dxa"/>
            <w:vAlign w:val="center"/>
          </w:tcPr>
          <w:p w14:paraId="24899C5A">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04E044F">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8E0CF7F">
            <w:pPr>
              <w:widowControl/>
              <w:spacing w:line="360" w:lineRule="auto"/>
              <w:jc w:val="left"/>
              <w:rPr>
                <w:rFonts w:ascii="宋体" w:hAnsi="宋体"/>
                <w:sz w:val="24"/>
              </w:rPr>
            </w:pPr>
            <w:r>
              <w:rPr>
                <w:rFonts w:hint="eastAsia" w:ascii="宋体" w:hAnsi="宋体" w:cs="宋体"/>
                <w:kern w:val="0"/>
                <w:sz w:val="24"/>
              </w:rPr>
              <w:t>整个激活过程，应当保证不泄露（包括秘钥在内）任何的涉密信息。</w:t>
            </w:r>
          </w:p>
        </w:tc>
        <w:tc>
          <w:tcPr>
            <w:tcW w:w="1202" w:type="dxa"/>
            <w:vAlign w:val="center"/>
          </w:tcPr>
          <w:p w14:paraId="4DD2D7A7">
            <w:pPr>
              <w:widowControl/>
              <w:spacing w:line="360" w:lineRule="auto"/>
              <w:jc w:val="center"/>
              <w:rPr>
                <w:rFonts w:ascii="宋体" w:hAnsi="宋体"/>
                <w:sz w:val="24"/>
              </w:rPr>
            </w:pPr>
            <w:r>
              <w:rPr>
                <w:rFonts w:hint="eastAsia" w:ascii="宋体" w:hAnsi="宋体"/>
                <w:sz w:val="24"/>
              </w:rPr>
              <w:t>技术响应偏离表</w:t>
            </w:r>
          </w:p>
        </w:tc>
      </w:tr>
      <w:tr w14:paraId="4EF8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0B5D4AA">
            <w:pPr>
              <w:spacing w:line="360" w:lineRule="auto"/>
              <w:jc w:val="center"/>
              <w:rPr>
                <w:rFonts w:ascii="宋体" w:hAnsi="宋体"/>
                <w:sz w:val="24"/>
              </w:rPr>
            </w:pPr>
            <w:r>
              <w:rPr>
                <w:rFonts w:hint="eastAsia" w:ascii="宋体" w:hAnsi="宋体"/>
                <w:sz w:val="24"/>
              </w:rPr>
              <w:t>15</w:t>
            </w:r>
          </w:p>
        </w:tc>
        <w:tc>
          <w:tcPr>
            <w:tcW w:w="1217" w:type="dxa"/>
            <w:vAlign w:val="center"/>
          </w:tcPr>
          <w:p w14:paraId="011D10DB">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316B3DC">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13DE8EEB">
            <w:pPr>
              <w:widowControl/>
              <w:spacing w:line="360" w:lineRule="auto"/>
              <w:jc w:val="left"/>
              <w:rPr>
                <w:rFonts w:ascii="宋体" w:hAnsi="宋体"/>
                <w:sz w:val="24"/>
              </w:rPr>
            </w:pPr>
            <w:r>
              <w:rPr>
                <w:rFonts w:hint="eastAsia" w:ascii="宋体" w:hAnsi="宋体" w:cs="宋体"/>
                <w:kern w:val="0"/>
                <w:sz w:val="24"/>
              </w:rPr>
              <w:t>激活客户端应当保证无法被反编译，以避免因为激活客户端被反编译而导致的关键数据或参数的泄露。</w:t>
            </w:r>
          </w:p>
        </w:tc>
        <w:tc>
          <w:tcPr>
            <w:tcW w:w="1202" w:type="dxa"/>
            <w:vAlign w:val="center"/>
          </w:tcPr>
          <w:p w14:paraId="5360B067">
            <w:pPr>
              <w:widowControl/>
              <w:spacing w:line="360" w:lineRule="auto"/>
              <w:jc w:val="center"/>
              <w:rPr>
                <w:rFonts w:ascii="宋体" w:hAnsi="宋体"/>
                <w:sz w:val="24"/>
              </w:rPr>
            </w:pPr>
            <w:r>
              <w:rPr>
                <w:rFonts w:hint="eastAsia" w:ascii="宋体" w:hAnsi="宋体"/>
                <w:sz w:val="24"/>
              </w:rPr>
              <w:t>技术响应偏离表</w:t>
            </w:r>
          </w:p>
        </w:tc>
      </w:tr>
      <w:tr w14:paraId="4F03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503FA8D">
            <w:pPr>
              <w:spacing w:line="360" w:lineRule="auto"/>
              <w:jc w:val="center"/>
              <w:rPr>
                <w:rFonts w:ascii="宋体" w:hAnsi="宋体"/>
                <w:sz w:val="24"/>
              </w:rPr>
            </w:pPr>
            <w:r>
              <w:rPr>
                <w:rFonts w:hint="eastAsia" w:ascii="宋体" w:hAnsi="宋体"/>
                <w:sz w:val="24"/>
              </w:rPr>
              <w:t>16</w:t>
            </w:r>
          </w:p>
        </w:tc>
        <w:tc>
          <w:tcPr>
            <w:tcW w:w="1217" w:type="dxa"/>
            <w:vAlign w:val="center"/>
          </w:tcPr>
          <w:p w14:paraId="71106373">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6142CB7">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13B4FC79">
            <w:pPr>
              <w:widowControl/>
              <w:spacing w:line="360" w:lineRule="auto"/>
              <w:jc w:val="left"/>
              <w:rPr>
                <w:rFonts w:ascii="宋体" w:hAnsi="宋体" w:cs="宋体"/>
                <w:kern w:val="0"/>
                <w:sz w:val="24"/>
              </w:rPr>
            </w:pPr>
            <w:bookmarkStart w:id="7" w:name="RANGE!A20"/>
            <w:r>
              <w:rPr>
                <w:rFonts w:hint="eastAsia" w:ascii="宋体" w:hAnsi="宋体" w:cs="宋体"/>
                <w:kern w:val="0"/>
                <w:sz w:val="24"/>
              </w:rPr>
              <w:t xml:space="preserve">激活客户端应当是多功能的集成体，用户一次安装可拥有多种功能，激活客户端至少应道包括的功能有： </w:t>
            </w:r>
          </w:p>
          <w:bookmarkEnd w:id="7"/>
          <w:p w14:paraId="3638ADF7">
            <w:pPr>
              <w:widowControl/>
              <w:spacing w:line="360" w:lineRule="auto"/>
              <w:jc w:val="left"/>
              <w:rPr>
                <w:rFonts w:ascii="宋体" w:hAnsi="宋体" w:cs="宋体"/>
                <w:kern w:val="0"/>
                <w:sz w:val="24"/>
              </w:rPr>
            </w:pPr>
            <w:r>
              <w:rPr>
                <w:rFonts w:hint="eastAsia" w:ascii="宋体" w:hAnsi="宋体" w:cs="宋体"/>
                <w:kern w:val="0"/>
                <w:sz w:val="24"/>
              </w:rPr>
              <w:t>a)正版软件的激活功能。</w:t>
            </w:r>
          </w:p>
          <w:p w14:paraId="7C51C282">
            <w:pPr>
              <w:widowControl/>
              <w:spacing w:line="360" w:lineRule="auto"/>
              <w:jc w:val="left"/>
              <w:rPr>
                <w:rFonts w:ascii="宋体" w:hAnsi="宋体" w:cs="宋体"/>
                <w:kern w:val="0"/>
                <w:sz w:val="24"/>
              </w:rPr>
            </w:pPr>
            <w:r>
              <w:rPr>
                <w:rFonts w:hint="eastAsia" w:ascii="宋体" w:hAnsi="宋体" w:cs="宋体"/>
                <w:kern w:val="0"/>
                <w:sz w:val="24"/>
              </w:rPr>
              <w:t>b)系统自动更新功能。</w:t>
            </w:r>
          </w:p>
          <w:p w14:paraId="1050BE9C">
            <w:pPr>
              <w:widowControl/>
              <w:spacing w:line="360" w:lineRule="auto"/>
              <w:jc w:val="left"/>
              <w:rPr>
                <w:rFonts w:ascii="宋体" w:hAnsi="宋体" w:cs="宋体"/>
                <w:kern w:val="0"/>
                <w:sz w:val="24"/>
              </w:rPr>
            </w:pPr>
            <w:r>
              <w:rPr>
                <w:rFonts w:hint="eastAsia" w:ascii="宋体" w:hAnsi="宋体" w:cs="宋体"/>
                <w:kern w:val="0"/>
                <w:sz w:val="24"/>
              </w:rPr>
              <w:t>c)驱动备份功能。</w:t>
            </w:r>
          </w:p>
          <w:p w14:paraId="33089383">
            <w:pPr>
              <w:widowControl/>
              <w:spacing w:line="360" w:lineRule="auto"/>
              <w:jc w:val="left"/>
              <w:rPr>
                <w:rFonts w:ascii="宋体" w:hAnsi="宋体"/>
                <w:sz w:val="24"/>
              </w:rPr>
            </w:pPr>
            <w:r>
              <w:rPr>
                <w:rFonts w:hint="eastAsia" w:ascii="宋体" w:hAnsi="宋体" w:cs="宋体"/>
                <w:kern w:val="0"/>
                <w:sz w:val="24"/>
              </w:rPr>
              <w:t>d)软件管理功能。</w:t>
            </w:r>
          </w:p>
        </w:tc>
        <w:tc>
          <w:tcPr>
            <w:tcW w:w="1202" w:type="dxa"/>
            <w:vAlign w:val="center"/>
          </w:tcPr>
          <w:p w14:paraId="7C93D6BD">
            <w:pPr>
              <w:widowControl/>
              <w:spacing w:line="360" w:lineRule="auto"/>
              <w:jc w:val="center"/>
              <w:rPr>
                <w:rFonts w:ascii="宋体" w:hAnsi="宋体"/>
                <w:sz w:val="24"/>
              </w:rPr>
            </w:pPr>
            <w:r>
              <w:rPr>
                <w:rFonts w:hint="eastAsia" w:ascii="宋体" w:hAnsi="宋体"/>
                <w:sz w:val="24"/>
              </w:rPr>
              <w:t>技术响应偏离表</w:t>
            </w:r>
          </w:p>
        </w:tc>
      </w:tr>
      <w:tr w14:paraId="4CF8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FAAF8C5">
            <w:pPr>
              <w:spacing w:line="360" w:lineRule="auto"/>
              <w:jc w:val="center"/>
              <w:rPr>
                <w:rFonts w:ascii="宋体" w:hAnsi="宋体"/>
                <w:sz w:val="24"/>
              </w:rPr>
            </w:pPr>
            <w:r>
              <w:rPr>
                <w:rFonts w:hint="eastAsia" w:ascii="宋体" w:hAnsi="宋体"/>
                <w:sz w:val="24"/>
              </w:rPr>
              <w:t>17</w:t>
            </w:r>
          </w:p>
        </w:tc>
        <w:tc>
          <w:tcPr>
            <w:tcW w:w="1217" w:type="dxa"/>
            <w:vAlign w:val="center"/>
          </w:tcPr>
          <w:p w14:paraId="045B8658">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D3E8028">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5FDA924">
            <w:pPr>
              <w:widowControl/>
              <w:spacing w:line="360" w:lineRule="auto"/>
              <w:jc w:val="left"/>
              <w:rPr>
                <w:rFonts w:ascii="宋体" w:hAnsi="宋体"/>
                <w:sz w:val="24"/>
              </w:rPr>
            </w:pPr>
            <w:bookmarkStart w:id="8" w:name="RANGE!A25"/>
            <w:r>
              <w:rPr>
                <w:rFonts w:hint="eastAsia" w:ascii="宋体" w:hAnsi="宋体" w:cs="宋体"/>
                <w:kern w:val="0"/>
                <w:sz w:val="24"/>
              </w:rPr>
              <w:t>激活客户端应当提供持续的升级服务，升级服务应当是在激活客户端检测到最新版本的时候自动完成。</w:t>
            </w:r>
            <w:bookmarkEnd w:id="8"/>
          </w:p>
        </w:tc>
        <w:tc>
          <w:tcPr>
            <w:tcW w:w="1202" w:type="dxa"/>
            <w:vAlign w:val="center"/>
          </w:tcPr>
          <w:p w14:paraId="34FBA6D7">
            <w:pPr>
              <w:widowControl/>
              <w:spacing w:line="360" w:lineRule="auto"/>
              <w:jc w:val="center"/>
              <w:rPr>
                <w:rFonts w:ascii="宋体" w:hAnsi="宋体"/>
                <w:sz w:val="24"/>
              </w:rPr>
            </w:pPr>
            <w:r>
              <w:rPr>
                <w:rFonts w:hint="eastAsia" w:ascii="宋体" w:hAnsi="宋体"/>
                <w:sz w:val="24"/>
              </w:rPr>
              <w:t>技术响应偏离表</w:t>
            </w:r>
          </w:p>
        </w:tc>
      </w:tr>
      <w:tr w14:paraId="11D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403AD71">
            <w:pPr>
              <w:spacing w:line="360" w:lineRule="auto"/>
              <w:jc w:val="center"/>
              <w:rPr>
                <w:rFonts w:ascii="宋体" w:hAnsi="宋体"/>
                <w:sz w:val="24"/>
              </w:rPr>
            </w:pPr>
            <w:r>
              <w:rPr>
                <w:rFonts w:hint="eastAsia" w:ascii="宋体" w:hAnsi="宋体"/>
                <w:sz w:val="24"/>
              </w:rPr>
              <w:t>18</w:t>
            </w:r>
          </w:p>
        </w:tc>
        <w:tc>
          <w:tcPr>
            <w:tcW w:w="1217" w:type="dxa"/>
            <w:vAlign w:val="center"/>
          </w:tcPr>
          <w:p w14:paraId="0F65C6FD">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380CF942">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54AF9AA3">
            <w:pPr>
              <w:widowControl/>
              <w:spacing w:line="360" w:lineRule="auto"/>
              <w:jc w:val="left"/>
              <w:rPr>
                <w:rFonts w:ascii="宋体" w:hAnsi="宋体"/>
                <w:sz w:val="24"/>
              </w:rPr>
            </w:pPr>
            <w:bookmarkStart w:id="9" w:name="RANGE!A26"/>
            <w:r>
              <w:rPr>
                <w:rFonts w:hint="eastAsia" w:ascii="宋体" w:hAnsi="宋体" w:cs="宋体"/>
                <w:kern w:val="0"/>
                <w:sz w:val="24"/>
              </w:rPr>
              <w:t>客户端应具备在线报障功能，可在客户端输入故障描述与联系方式提交后后台即可收到报障信息第一时间联系用户排查处理故障。</w:t>
            </w:r>
            <w:bookmarkEnd w:id="9"/>
          </w:p>
        </w:tc>
        <w:tc>
          <w:tcPr>
            <w:tcW w:w="1202" w:type="dxa"/>
            <w:vAlign w:val="center"/>
          </w:tcPr>
          <w:p w14:paraId="39FB0CE8">
            <w:pPr>
              <w:widowControl/>
              <w:spacing w:line="360" w:lineRule="auto"/>
              <w:jc w:val="center"/>
              <w:rPr>
                <w:rFonts w:ascii="宋体" w:hAnsi="宋体"/>
                <w:sz w:val="24"/>
              </w:rPr>
            </w:pPr>
            <w:r>
              <w:rPr>
                <w:rFonts w:hint="eastAsia" w:ascii="宋体" w:hAnsi="宋体"/>
                <w:sz w:val="24"/>
              </w:rPr>
              <w:t>技术响应偏离表</w:t>
            </w:r>
          </w:p>
        </w:tc>
      </w:tr>
      <w:tr w14:paraId="4CE4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1E33A14">
            <w:pPr>
              <w:spacing w:line="360" w:lineRule="auto"/>
              <w:jc w:val="center"/>
              <w:rPr>
                <w:rFonts w:ascii="宋体" w:hAnsi="宋体"/>
                <w:sz w:val="24"/>
              </w:rPr>
            </w:pPr>
            <w:r>
              <w:rPr>
                <w:rFonts w:hint="eastAsia" w:ascii="宋体" w:hAnsi="宋体"/>
                <w:sz w:val="24"/>
              </w:rPr>
              <w:t>19</w:t>
            </w:r>
          </w:p>
        </w:tc>
        <w:tc>
          <w:tcPr>
            <w:tcW w:w="1217" w:type="dxa"/>
            <w:vAlign w:val="center"/>
          </w:tcPr>
          <w:p w14:paraId="1353807D">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4283828">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190B5182">
            <w:pPr>
              <w:widowControl/>
              <w:spacing w:line="360" w:lineRule="auto"/>
              <w:jc w:val="left"/>
              <w:rPr>
                <w:rFonts w:ascii="宋体" w:hAnsi="宋体"/>
                <w:sz w:val="24"/>
              </w:rPr>
            </w:pPr>
            <w:bookmarkStart w:id="10" w:name="RANGE!A27"/>
            <w:r>
              <w:rPr>
                <w:rFonts w:hint="eastAsia" w:ascii="宋体" w:hAnsi="宋体" w:cs="宋体"/>
                <w:kern w:val="0"/>
                <w:sz w:val="24"/>
              </w:rPr>
              <w:t>客户端应兼容64位与32位操作系统，并能够实现绿色解压运行免安装。</w:t>
            </w:r>
            <w:bookmarkEnd w:id="10"/>
          </w:p>
        </w:tc>
        <w:tc>
          <w:tcPr>
            <w:tcW w:w="1202" w:type="dxa"/>
            <w:vAlign w:val="center"/>
          </w:tcPr>
          <w:p w14:paraId="7EA6BE21">
            <w:pPr>
              <w:widowControl/>
              <w:spacing w:line="360" w:lineRule="auto"/>
              <w:jc w:val="center"/>
              <w:rPr>
                <w:rFonts w:ascii="宋体" w:hAnsi="宋体"/>
                <w:sz w:val="24"/>
              </w:rPr>
            </w:pPr>
            <w:r>
              <w:rPr>
                <w:rFonts w:hint="eastAsia" w:ascii="宋体" w:hAnsi="宋体"/>
                <w:sz w:val="24"/>
              </w:rPr>
              <w:t>技术响应偏离表</w:t>
            </w:r>
          </w:p>
        </w:tc>
      </w:tr>
      <w:tr w14:paraId="1708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DD9BE06">
            <w:pPr>
              <w:spacing w:line="360" w:lineRule="auto"/>
              <w:jc w:val="center"/>
              <w:rPr>
                <w:rFonts w:ascii="宋体" w:hAnsi="宋体"/>
                <w:sz w:val="24"/>
              </w:rPr>
            </w:pPr>
            <w:r>
              <w:rPr>
                <w:rFonts w:hint="eastAsia" w:ascii="宋体" w:hAnsi="宋体"/>
                <w:sz w:val="24"/>
              </w:rPr>
              <w:t>20</w:t>
            </w:r>
          </w:p>
        </w:tc>
        <w:tc>
          <w:tcPr>
            <w:tcW w:w="1217" w:type="dxa"/>
            <w:vAlign w:val="center"/>
          </w:tcPr>
          <w:p w14:paraId="7B0A56FD">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DD21044">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067A4B6">
            <w:pPr>
              <w:widowControl/>
              <w:spacing w:line="360" w:lineRule="auto"/>
              <w:jc w:val="left"/>
              <w:rPr>
                <w:rFonts w:ascii="宋体" w:hAnsi="宋体"/>
                <w:sz w:val="24"/>
              </w:rPr>
            </w:pPr>
            <w:bookmarkStart w:id="11" w:name="RANGE!A28"/>
            <w:r>
              <w:rPr>
                <w:rFonts w:hint="eastAsia" w:ascii="宋体" w:hAnsi="宋体" w:cs="宋体"/>
                <w:kern w:val="0"/>
                <w:sz w:val="24"/>
              </w:rPr>
              <w:t>对正版化平台提供下载的软件应隐藏真实下载路径，并对下载次数进行限制。</w:t>
            </w:r>
            <w:bookmarkEnd w:id="11"/>
          </w:p>
        </w:tc>
        <w:tc>
          <w:tcPr>
            <w:tcW w:w="1202" w:type="dxa"/>
            <w:vAlign w:val="center"/>
          </w:tcPr>
          <w:p w14:paraId="49014C4B">
            <w:pPr>
              <w:widowControl/>
              <w:spacing w:line="360" w:lineRule="auto"/>
              <w:jc w:val="center"/>
              <w:rPr>
                <w:rFonts w:ascii="宋体" w:hAnsi="宋体"/>
                <w:sz w:val="24"/>
              </w:rPr>
            </w:pPr>
            <w:r>
              <w:rPr>
                <w:rFonts w:hint="eastAsia" w:ascii="宋体" w:hAnsi="宋体"/>
                <w:sz w:val="24"/>
              </w:rPr>
              <w:t>技术响应偏离表</w:t>
            </w:r>
          </w:p>
        </w:tc>
      </w:tr>
      <w:tr w14:paraId="054D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0CA04F44">
            <w:pPr>
              <w:spacing w:line="360" w:lineRule="auto"/>
              <w:jc w:val="center"/>
              <w:rPr>
                <w:rFonts w:ascii="宋体" w:hAnsi="宋体"/>
                <w:sz w:val="24"/>
              </w:rPr>
            </w:pPr>
            <w:r>
              <w:rPr>
                <w:rFonts w:hint="eastAsia" w:ascii="宋体" w:hAnsi="宋体"/>
                <w:sz w:val="24"/>
              </w:rPr>
              <w:t>21</w:t>
            </w:r>
          </w:p>
        </w:tc>
        <w:tc>
          <w:tcPr>
            <w:tcW w:w="1217" w:type="dxa"/>
            <w:vAlign w:val="center"/>
          </w:tcPr>
          <w:p w14:paraId="086ECA0A">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0899BF5">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764539F">
            <w:pPr>
              <w:widowControl/>
              <w:spacing w:line="360" w:lineRule="auto"/>
              <w:jc w:val="left"/>
              <w:rPr>
                <w:rFonts w:ascii="宋体" w:hAnsi="宋体"/>
                <w:sz w:val="24"/>
              </w:rPr>
            </w:pPr>
            <w:r>
              <w:rPr>
                <w:rFonts w:hint="eastAsia" w:ascii="宋体" w:hAnsi="宋体" w:cs="宋体"/>
                <w:kern w:val="0"/>
                <w:sz w:val="24"/>
              </w:rPr>
              <w:t xml:space="preserve">软件管理与服务平台提供商一年应当提供不少于4次的更新服务，服务内容应当包括：软件、文档、视频资料更新；软件管理与服务平台定制开发；身份认证对接；软件管理与服务平台系统优化； </w:t>
            </w:r>
          </w:p>
        </w:tc>
        <w:tc>
          <w:tcPr>
            <w:tcW w:w="1202" w:type="dxa"/>
            <w:vAlign w:val="center"/>
          </w:tcPr>
          <w:p w14:paraId="3E4DAE42">
            <w:pPr>
              <w:widowControl/>
              <w:spacing w:line="360" w:lineRule="auto"/>
              <w:jc w:val="center"/>
              <w:rPr>
                <w:rFonts w:ascii="宋体" w:hAnsi="宋体"/>
                <w:sz w:val="24"/>
              </w:rPr>
            </w:pPr>
            <w:r>
              <w:rPr>
                <w:rFonts w:hint="eastAsia" w:ascii="宋体" w:hAnsi="宋体"/>
                <w:sz w:val="24"/>
              </w:rPr>
              <w:t>技术响应偏离表</w:t>
            </w:r>
          </w:p>
        </w:tc>
      </w:tr>
      <w:tr w14:paraId="5601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04A88477">
            <w:pPr>
              <w:spacing w:line="360" w:lineRule="auto"/>
              <w:jc w:val="center"/>
              <w:rPr>
                <w:rFonts w:ascii="宋体" w:hAnsi="宋体"/>
                <w:sz w:val="24"/>
              </w:rPr>
            </w:pPr>
            <w:r>
              <w:rPr>
                <w:rFonts w:hint="eastAsia" w:ascii="宋体" w:hAnsi="宋体"/>
                <w:sz w:val="24"/>
              </w:rPr>
              <w:t>22</w:t>
            </w:r>
          </w:p>
        </w:tc>
        <w:tc>
          <w:tcPr>
            <w:tcW w:w="1217" w:type="dxa"/>
            <w:vAlign w:val="center"/>
          </w:tcPr>
          <w:p w14:paraId="68BAA780">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EBC7168">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056DF67E">
            <w:pPr>
              <w:widowControl/>
              <w:spacing w:line="360" w:lineRule="auto"/>
              <w:jc w:val="left"/>
              <w:rPr>
                <w:rFonts w:ascii="宋体" w:hAnsi="宋体"/>
                <w:sz w:val="24"/>
              </w:rPr>
            </w:pPr>
            <w:bookmarkStart w:id="12" w:name="RANGE!A30"/>
            <w:r>
              <w:rPr>
                <w:rFonts w:hint="eastAsia" w:ascii="宋体" w:hAnsi="宋体" w:cs="宋体"/>
                <w:kern w:val="0"/>
                <w:sz w:val="24"/>
              </w:rPr>
              <w:t>补丁升级，软件管理与服务平台需要包含操作系统和办公软件的补丁升级服务。为了提高补丁服务的工作效率，软件管理与服务平台提供商，应当支持为本校在校内部署一套补丁服务器。</w:t>
            </w:r>
            <w:bookmarkEnd w:id="12"/>
          </w:p>
        </w:tc>
        <w:tc>
          <w:tcPr>
            <w:tcW w:w="1202" w:type="dxa"/>
            <w:vAlign w:val="center"/>
          </w:tcPr>
          <w:p w14:paraId="10CFED3F">
            <w:pPr>
              <w:widowControl/>
              <w:spacing w:line="360" w:lineRule="auto"/>
              <w:jc w:val="center"/>
              <w:rPr>
                <w:rFonts w:ascii="宋体" w:hAnsi="宋体"/>
                <w:sz w:val="24"/>
              </w:rPr>
            </w:pPr>
            <w:r>
              <w:rPr>
                <w:rFonts w:hint="eastAsia" w:ascii="宋体" w:hAnsi="宋体"/>
                <w:sz w:val="24"/>
              </w:rPr>
              <w:t>技术响应偏离表</w:t>
            </w:r>
          </w:p>
        </w:tc>
      </w:tr>
      <w:tr w14:paraId="640D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1DFF5388">
            <w:pPr>
              <w:spacing w:line="360" w:lineRule="auto"/>
              <w:jc w:val="center"/>
              <w:rPr>
                <w:rFonts w:ascii="宋体" w:hAnsi="宋体"/>
                <w:sz w:val="24"/>
              </w:rPr>
            </w:pPr>
            <w:r>
              <w:rPr>
                <w:rFonts w:hint="eastAsia" w:ascii="宋体" w:hAnsi="宋体"/>
                <w:sz w:val="24"/>
              </w:rPr>
              <w:t>23</w:t>
            </w:r>
          </w:p>
        </w:tc>
        <w:tc>
          <w:tcPr>
            <w:tcW w:w="1217" w:type="dxa"/>
            <w:vAlign w:val="center"/>
          </w:tcPr>
          <w:p w14:paraId="75F1B118">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6E02A25">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BB5F179">
            <w:pPr>
              <w:widowControl/>
              <w:spacing w:line="360" w:lineRule="auto"/>
              <w:jc w:val="left"/>
              <w:rPr>
                <w:rFonts w:ascii="宋体" w:hAnsi="宋体"/>
                <w:sz w:val="24"/>
              </w:rPr>
            </w:pPr>
            <w:r>
              <w:rPr>
                <w:rFonts w:hint="eastAsia" w:ascii="宋体" w:hAnsi="宋体" w:cs="宋体"/>
                <w:kern w:val="0"/>
                <w:sz w:val="24"/>
              </w:rPr>
              <w:t>系统监控，软件管理与服务平台应当包括一套软件管理与服务平台服务器监控系统，监控范围覆盖软件管理与服务平台 服务器资源，以便实时了解服务器的监控状况。监控内容包括（但不限于）CPU 使用率、内存使用率、磁盘使用空间检 测、KMS 服务器检测、身份认证对接检测。监控系统应当提供 实时报警，当监控数据达到一个临界值或服务异常的时候，主动向系统管理员以及系统的维护人员和软件管理与服务平台的项目负责人和运维服务人员等关键系统相关人员发送报警通知，以便在第一时间得到处理。</w:t>
            </w:r>
          </w:p>
        </w:tc>
        <w:tc>
          <w:tcPr>
            <w:tcW w:w="1202" w:type="dxa"/>
            <w:vAlign w:val="center"/>
          </w:tcPr>
          <w:p w14:paraId="4E1FDE27">
            <w:pPr>
              <w:widowControl/>
              <w:spacing w:line="360" w:lineRule="auto"/>
              <w:jc w:val="center"/>
              <w:rPr>
                <w:rFonts w:ascii="宋体" w:hAnsi="宋体"/>
                <w:sz w:val="24"/>
              </w:rPr>
            </w:pPr>
            <w:r>
              <w:rPr>
                <w:rFonts w:hint="eastAsia" w:ascii="宋体" w:hAnsi="宋体"/>
                <w:sz w:val="24"/>
              </w:rPr>
              <w:t>技术响应偏离表</w:t>
            </w:r>
          </w:p>
        </w:tc>
      </w:tr>
      <w:tr w14:paraId="2B76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A79A75F">
            <w:pPr>
              <w:spacing w:line="360" w:lineRule="auto"/>
              <w:jc w:val="center"/>
              <w:rPr>
                <w:rFonts w:ascii="宋体" w:hAnsi="宋体"/>
                <w:sz w:val="24"/>
              </w:rPr>
            </w:pPr>
            <w:r>
              <w:rPr>
                <w:rFonts w:hint="eastAsia" w:ascii="宋体" w:hAnsi="宋体"/>
                <w:sz w:val="24"/>
              </w:rPr>
              <w:t>24</w:t>
            </w:r>
          </w:p>
        </w:tc>
        <w:tc>
          <w:tcPr>
            <w:tcW w:w="1217" w:type="dxa"/>
            <w:vAlign w:val="center"/>
          </w:tcPr>
          <w:p w14:paraId="008B0E38">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9E111A0">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7B18F514">
            <w:pPr>
              <w:widowControl/>
              <w:spacing w:line="360" w:lineRule="auto"/>
              <w:jc w:val="left"/>
              <w:rPr>
                <w:rFonts w:ascii="宋体" w:hAnsi="宋体"/>
                <w:sz w:val="24"/>
              </w:rPr>
            </w:pPr>
            <w:r>
              <w:rPr>
                <w:rFonts w:hint="eastAsia" w:ascii="宋体" w:hAnsi="宋体" w:cs="宋体"/>
                <w:kern w:val="0"/>
                <w:sz w:val="24"/>
              </w:rPr>
              <w:t>文档内容，软件管理与服务平台应当提供一套包括操作系统和办公软件在使用过程中的常见问题解决方案、激活常见问题处理方案的帮助文档，并且每年的更新次数不少于2次。</w:t>
            </w:r>
          </w:p>
        </w:tc>
        <w:tc>
          <w:tcPr>
            <w:tcW w:w="1202" w:type="dxa"/>
            <w:vAlign w:val="center"/>
          </w:tcPr>
          <w:p w14:paraId="09FD03DF">
            <w:pPr>
              <w:widowControl/>
              <w:spacing w:line="360" w:lineRule="auto"/>
              <w:jc w:val="center"/>
              <w:rPr>
                <w:rFonts w:ascii="宋体" w:hAnsi="宋体"/>
                <w:sz w:val="24"/>
              </w:rPr>
            </w:pPr>
            <w:r>
              <w:rPr>
                <w:rFonts w:hint="eastAsia" w:ascii="宋体" w:hAnsi="宋体"/>
                <w:sz w:val="24"/>
              </w:rPr>
              <w:t>技术响应偏离表</w:t>
            </w:r>
          </w:p>
        </w:tc>
      </w:tr>
      <w:tr w14:paraId="0F80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BEBA976">
            <w:pPr>
              <w:spacing w:line="360" w:lineRule="auto"/>
              <w:jc w:val="center"/>
              <w:rPr>
                <w:rFonts w:ascii="宋体" w:hAnsi="宋体"/>
                <w:sz w:val="24"/>
              </w:rPr>
            </w:pPr>
            <w:r>
              <w:rPr>
                <w:rFonts w:hint="eastAsia" w:ascii="宋体" w:hAnsi="宋体"/>
                <w:sz w:val="24"/>
              </w:rPr>
              <w:t>25</w:t>
            </w:r>
          </w:p>
        </w:tc>
        <w:tc>
          <w:tcPr>
            <w:tcW w:w="1217" w:type="dxa"/>
            <w:vAlign w:val="center"/>
          </w:tcPr>
          <w:p w14:paraId="5C303D04">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A0D3447">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5C988AD2">
            <w:pPr>
              <w:widowControl/>
              <w:spacing w:line="360" w:lineRule="auto"/>
              <w:jc w:val="left"/>
              <w:rPr>
                <w:rFonts w:ascii="宋体" w:hAnsi="宋体"/>
                <w:sz w:val="24"/>
              </w:rPr>
            </w:pPr>
            <w:bookmarkStart w:id="13" w:name="RANGE!A32"/>
            <w:r>
              <w:rPr>
                <w:rFonts w:hint="eastAsia" w:ascii="宋体" w:hAnsi="宋体" w:cs="宋体"/>
                <w:kern w:val="0"/>
                <w:sz w:val="24"/>
              </w:rPr>
              <w:t>学习资料，软件管理与服务平台应当提供平台操作系统的和办公软件的使用技巧和方法的文档和视频资料。</w:t>
            </w:r>
            <w:bookmarkEnd w:id="13"/>
          </w:p>
        </w:tc>
        <w:tc>
          <w:tcPr>
            <w:tcW w:w="1202" w:type="dxa"/>
            <w:vAlign w:val="center"/>
          </w:tcPr>
          <w:p w14:paraId="65CE676F">
            <w:pPr>
              <w:widowControl/>
              <w:spacing w:line="360" w:lineRule="auto"/>
              <w:jc w:val="center"/>
              <w:rPr>
                <w:rFonts w:ascii="宋体" w:hAnsi="宋体"/>
                <w:sz w:val="24"/>
              </w:rPr>
            </w:pPr>
            <w:r>
              <w:rPr>
                <w:rFonts w:hint="eastAsia" w:ascii="宋体" w:hAnsi="宋体"/>
                <w:sz w:val="24"/>
              </w:rPr>
              <w:t>技术响应偏离表</w:t>
            </w:r>
          </w:p>
        </w:tc>
      </w:tr>
      <w:tr w14:paraId="7DA1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A6AE7FD">
            <w:pPr>
              <w:spacing w:line="360" w:lineRule="auto"/>
              <w:jc w:val="center"/>
              <w:rPr>
                <w:rFonts w:ascii="宋体" w:hAnsi="宋体"/>
                <w:sz w:val="24"/>
              </w:rPr>
            </w:pPr>
            <w:r>
              <w:rPr>
                <w:rFonts w:hint="eastAsia" w:ascii="宋体" w:hAnsi="宋体"/>
                <w:sz w:val="24"/>
              </w:rPr>
              <w:t>26</w:t>
            </w:r>
          </w:p>
        </w:tc>
        <w:tc>
          <w:tcPr>
            <w:tcW w:w="1217" w:type="dxa"/>
            <w:vAlign w:val="center"/>
          </w:tcPr>
          <w:p w14:paraId="7B87263C">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388FF0CA">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77475317">
            <w:pPr>
              <w:widowControl/>
              <w:spacing w:line="360" w:lineRule="auto"/>
              <w:jc w:val="left"/>
              <w:rPr>
                <w:rFonts w:ascii="宋体" w:hAnsi="宋体"/>
                <w:sz w:val="24"/>
              </w:rPr>
            </w:pPr>
            <w:r>
              <w:rPr>
                <w:rFonts w:hint="eastAsia" w:ascii="宋体" w:hAnsi="宋体" w:cs="宋体"/>
                <w:kern w:val="0"/>
                <w:sz w:val="24"/>
              </w:rPr>
              <w:t>安装教程，软件管理与服务平台应当提供一套操作系统和办公软件的安装视频和文档的详细教程。</w:t>
            </w:r>
          </w:p>
        </w:tc>
        <w:tc>
          <w:tcPr>
            <w:tcW w:w="1202" w:type="dxa"/>
            <w:vAlign w:val="center"/>
          </w:tcPr>
          <w:p w14:paraId="766D9753">
            <w:pPr>
              <w:widowControl/>
              <w:spacing w:line="360" w:lineRule="auto"/>
              <w:jc w:val="center"/>
              <w:rPr>
                <w:rFonts w:ascii="宋体" w:hAnsi="宋体"/>
                <w:sz w:val="24"/>
              </w:rPr>
            </w:pPr>
            <w:r>
              <w:rPr>
                <w:rFonts w:hint="eastAsia" w:ascii="宋体" w:hAnsi="宋体"/>
                <w:sz w:val="24"/>
              </w:rPr>
              <w:t>技术响应偏离表</w:t>
            </w:r>
          </w:p>
        </w:tc>
      </w:tr>
      <w:tr w14:paraId="458D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D1DEB32">
            <w:pPr>
              <w:spacing w:line="360" w:lineRule="auto"/>
              <w:jc w:val="center"/>
              <w:rPr>
                <w:rFonts w:ascii="宋体" w:hAnsi="宋体"/>
                <w:sz w:val="24"/>
              </w:rPr>
            </w:pPr>
            <w:r>
              <w:rPr>
                <w:rFonts w:hint="eastAsia" w:ascii="宋体" w:hAnsi="宋体"/>
                <w:sz w:val="24"/>
              </w:rPr>
              <w:t>27</w:t>
            </w:r>
          </w:p>
        </w:tc>
        <w:tc>
          <w:tcPr>
            <w:tcW w:w="1217" w:type="dxa"/>
            <w:vAlign w:val="center"/>
          </w:tcPr>
          <w:p w14:paraId="1C3E2EDF">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3CA179A">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799DEEE0">
            <w:pPr>
              <w:widowControl/>
              <w:spacing w:line="360" w:lineRule="auto"/>
              <w:jc w:val="left"/>
              <w:rPr>
                <w:rFonts w:ascii="宋体" w:hAnsi="宋体"/>
                <w:sz w:val="24"/>
              </w:rPr>
            </w:pPr>
            <w:bookmarkStart w:id="14" w:name="RANGE!A34"/>
            <w:r>
              <w:rPr>
                <w:rFonts w:hint="eastAsia" w:ascii="宋体" w:hAnsi="宋体" w:cs="宋体"/>
                <w:kern w:val="0"/>
                <w:sz w:val="24"/>
              </w:rPr>
              <w:t>自主软件管理，本校管理员要能通过软件管理与服务平台的管理后台，自助管理本校的其他软件资源，例如，MATLAB、AutoCAD等软件资源。</w:t>
            </w:r>
            <w:bookmarkEnd w:id="14"/>
          </w:p>
        </w:tc>
        <w:tc>
          <w:tcPr>
            <w:tcW w:w="1202" w:type="dxa"/>
            <w:vAlign w:val="center"/>
          </w:tcPr>
          <w:p w14:paraId="2474B0D1">
            <w:pPr>
              <w:widowControl/>
              <w:spacing w:line="360" w:lineRule="auto"/>
              <w:jc w:val="center"/>
              <w:rPr>
                <w:rFonts w:ascii="宋体" w:hAnsi="宋体"/>
                <w:sz w:val="24"/>
              </w:rPr>
            </w:pPr>
            <w:r>
              <w:rPr>
                <w:rFonts w:hint="eastAsia" w:ascii="宋体" w:hAnsi="宋体"/>
                <w:sz w:val="24"/>
              </w:rPr>
              <w:t>技术响应偏离表</w:t>
            </w:r>
          </w:p>
        </w:tc>
      </w:tr>
      <w:tr w14:paraId="333C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73BB66A">
            <w:pPr>
              <w:spacing w:line="360" w:lineRule="auto"/>
              <w:jc w:val="center"/>
              <w:rPr>
                <w:rFonts w:ascii="宋体" w:hAnsi="宋体"/>
                <w:sz w:val="24"/>
              </w:rPr>
            </w:pPr>
            <w:r>
              <w:rPr>
                <w:rFonts w:hint="eastAsia" w:ascii="宋体" w:hAnsi="宋体"/>
                <w:sz w:val="24"/>
              </w:rPr>
              <w:t>28</w:t>
            </w:r>
          </w:p>
        </w:tc>
        <w:tc>
          <w:tcPr>
            <w:tcW w:w="1217" w:type="dxa"/>
            <w:vAlign w:val="center"/>
          </w:tcPr>
          <w:p w14:paraId="4CD34F44">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B1AEBBF">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4756031E">
            <w:pPr>
              <w:widowControl/>
              <w:spacing w:line="360" w:lineRule="auto"/>
              <w:jc w:val="left"/>
              <w:rPr>
                <w:rFonts w:ascii="宋体" w:hAnsi="宋体"/>
                <w:sz w:val="24"/>
              </w:rPr>
            </w:pPr>
            <w:bookmarkStart w:id="15" w:name="RANGE!A35"/>
            <w:r>
              <w:rPr>
                <w:rFonts w:hint="eastAsia" w:ascii="宋体" w:hAnsi="宋体" w:cs="宋体"/>
                <w:kern w:val="0"/>
                <w:sz w:val="24"/>
              </w:rPr>
              <w:t xml:space="preserve">软件管理与服务平台应当对用户的下载、激活、注册、激活次数分配等数据进行实时的记录，并且按照精细时间、软件及软件类型、用户身份类型及部门、激活状态等元素进行多维度的使用统计。 </w:t>
            </w:r>
            <w:bookmarkEnd w:id="15"/>
          </w:p>
        </w:tc>
        <w:tc>
          <w:tcPr>
            <w:tcW w:w="1202" w:type="dxa"/>
            <w:vAlign w:val="center"/>
          </w:tcPr>
          <w:p w14:paraId="1A2E9F16">
            <w:pPr>
              <w:widowControl/>
              <w:spacing w:line="360" w:lineRule="auto"/>
              <w:jc w:val="center"/>
              <w:rPr>
                <w:rFonts w:ascii="宋体" w:hAnsi="宋体"/>
                <w:sz w:val="24"/>
              </w:rPr>
            </w:pPr>
            <w:r>
              <w:rPr>
                <w:rFonts w:hint="eastAsia" w:ascii="宋体" w:hAnsi="宋体"/>
                <w:sz w:val="24"/>
              </w:rPr>
              <w:t>技术响应偏离表</w:t>
            </w:r>
          </w:p>
        </w:tc>
      </w:tr>
      <w:tr w14:paraId="2A12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E36BD78">
            <w:pPr>
              <w:spacing w:line="360" w:lineRule="auto"/>
              <w:jc w:val="center"/>
              <w:rPr>
                <w:rFonts w:ascii="宋体" w:hAnsi="宋体"/>
                <w:sz w:val="24"/>
              </w:rPr>
            </w:pPr>
            <w:r>
              <w:rPr>
                <w:rFonts w:hint="eastAsia" w:ascii="宋体" w:hAnsi="宋体"/>
                <w:sz w:val="24"/>
              </w:rPr>
              <w:t>29</w:t>
            </w:r>
          </w:p>
        </w:tc>
        <w:tc>
          <w:tcPr>
            <w:tcW w:w="1217" w:type="dxa"/>
            <w:vAlign w:val="center"/>
          </w:tcPr>
          <w:p w14:paraId="3EC587CA">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8356C08">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D06071F">
            <w:pPr>
              <w:widowControl/>
              <w:spacing w:line="360" w:lineRule="auto"/>
              <w:jc w:val="left"/>
              <w:rPr>
                <w:rFonts w:ascii="宋体" w:hAnsi="宋体"/>
                <w:sz w:val="24"/>
              </w:rPr>
            </w:pPr>
            <w:r>
              <w:rPr>
                <w:rFonts w:hint="eastAsia" w:ascii="宋体" w:hAnsi="宋体" w:cs="宋体"/>
                <w:kern w:val="0"/>
                <w:sz w:val="24"/>
              </w:rPr>
              <w:t>软件管理与服务平台的系统网站（包括管理后台），应当兼容不同的浏览器，并且可以根据本校的需求进行一定的定制，以便与本校的一贯风格保持一致。</w:t>
            </w:r>
          </w:p>
        </w:tc>
        <w:tc>
          <w:tcPr>
            <w:tcW w:w="1202" w:type="dxa"/>
            <w:vAlign w:val="center"/>
          </w:tcPr>
          <w:p w14:paraId="054C4C26">
            <w:pPr>
              <w:widowControl/>
              <w:spacing w:line="360" w:lineRule="auto"/>
              <w:jc w:val="center"/>
              <w:rPr>
                <w:rFonts w:ascii="宋体" w:hAnsi="宋体"/>
                <w:sz w:val="24"/>
              </w:rPr>
            </w:pPr>
            <w:r>
              <w:rPr>
                <w:rFonts w:hint="eastAsia" w:ascii="宋体" w:hAnsi="宋体"/>
                <w:sz w:val="24"/>
              </w:rPr>
              <w:t>技术响应偏离表</w:t>
            </w:r>
          </w:p>
        </w:tc>
      </w:tr>
      <w:tr w14:paraId="4D7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12804365">
            <w:pPr>
              <w:spacing w:line="360" w:lineRule="auto"/>
              <w:jc w:val="center"/>
              <w:rPr>
                <w:rFonts w:ascii="宋体" w:hAnsi="宋体"/>
                <w:sz w:val="24"/>
              </w:rPr>
            </w:pPr>
            <w:r>
              <w:rPr>
                <w:rFonts w:hint="eastAsia" w:ascii="宋体" w:hAnsi="宋体"/>
                <w:sz w:val="24"/>
              </w:rPr>
              <w:t>30</w:t>
            </w:r>
          </w:p>
        </w:tc>
        <w:tc>
          <w:tcPr>
            <w:tcW w:w="1217" w:type="dxa"/>
            <w:vAlign w:val="center"/>
          </w:tcPr>
          <w:p w14:paraId="527B0A4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05A9086">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59EFC518">
            <w:pPr>
              <w:widowControl/>
              <w:spacing w:line="360" w:lineRule="auto"/>
              <w:jc w:val="left"/>
              <w:rPr>
                <w:rFonts w:ascii="宋体" w:hAnsi="宋体"/>
                <w:sz w:val="24"/>
              </w:rPr>
            </w:pPr>
            <w:r>
              <w:rPr>
                <w:rFonts w:hint="eastAsia" w:ascii="宋体" w:hAnsi="宋体" w:cs="宋体"/>
                <w:kern w:val="0"/>
                <w:sz w:val="24"/>
              </w:rPr>
              <w:t>软件管理与服务平台应当对包括激活客户端在内的功能进行每年不少于一次的平台升级服务。</w:t>
            </w:r>
          </w:p>
        </w:tc>
        <w:tc>
          <w:tcPr>
            <w:tcW w:w="1202" w:type="dxa"/>
            <w:vAlign w:val="center"/>
          </w:tcPr>
          <w:p w14:paraId="3DF2895E">
            <w:pPr>
              <w:widowControl/>
              <w:spacing w:line="360" w:lineRule="auto"/>
              <w:jc w:val="center"/>
              <w:rPr>
                <w:rFonts w:ascii="宋体" w:hAnsi="宋体"/>
                <w:sz w:val="24"/>
              </w:rPr>
            </w:pPr>
            <w:r>
              <w:rPr>
                <w:rFonts w:hint="eastAsia" w:ascii="宋体" w:hAnsi="宋体"/>
                <w:sz w:val="24"/>
              </w:rPr>
              <w:t>技术响应偏离表</w:t>
            </w:r>
          </w:p>
        </w:tc>
      </w:tr>
      <w:tr w14:paraId="6C21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2A3873D">
            <w:pPr>
              <w:spacing w:line="360" w:lineRule="auto"/>
              <w:jc w:val="center"/>
              <w:rPr>
                <w:rFonts w:ascii="宋体" w:hAnsi="宋体"/>
                <w:sz w:val="24"/>
              </w:rPr>
            </w:pPr>
            <w:r>
              <w:rPr>
                <w:rFonts w:hint="eastAsia" w:ascii="宋体" w:hAnsi="宋体"/>
                <w:sz w:val="24"/>
              </w:rPr>
              <w:t>31</w:t>
            </w:r>
          </w:p>
        </w:tc>
        <w:tc>
          <w:tcPr>
            <w:tcW w:w="1217" w:type="dxa"/>
            <w:vAlign w:val="center"/>
          </w:tcPr>
          <w:p w14:paraId="0B21B6A3">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7E1D2E47">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2BF150E">
            <w:pPr>
              <w:widowControl/>
              <w:spacing w:line="360" w:lineRule="auto"/>
              <w:jc w:val="left"/>
              <w:rPr>
                <w:rFonts w:ascii="宋体" w:hAnsi="宋体"/>
                <w:sz w:val="24"/>
              </w:rPr>
            </w:pPr>
            <w:r>
              <w:rPr>
                <w:rFonts w:hint="eastAsia" w:ascii="宋体" w:hAnsi="宋体" w:cs="宋体"/>
                <w:kern w:val="0"/>
                <w:sz w:val="24"/>
              </w:rPr>
              <w:t>软件管理与服务平台提供的服务，应当符合第三方软件提供公司的使用管理规范，以避免本校因为在系统和软件的使用过程中，因为不符合第三方软件提供商的软件使用规定而产生的软件使用规范问题。</w:t>
            </w:r>
          </w:p>
        </w:tc>
        <w:tc>
          <w:tcPr>
            <w:tcW w:w="1202" w:type="dxa"/>
            <w:vAlign w:val="center"/>
          </w:tcPr>
          <w:p w14:paraId="08C532FE">
            <w:pPr>
              <w:widowControl/>
              <w:spacing w:line="360" w:lineRule="auto"/>
              <w:jc w:val="center"/>
              <w:rPr>
                <w:rFonts w:ascii="宋体" w:hAnsi="宋体"/>
                <w:sz w:val="24"/>
              </w:rPr>
            </w:pPr>
            <w:r>
              <w:rPr>
                <w:rFonts w:hint="eastAsia" w:ascii="宋体" w:hAnsi="宋体"/>
                <w:sz w:val="24"/>
              </w:rPr>
              <w:t>技术响应偏离表</w:t>
            </w:r>
          </w:p>
        </w:tc>
      </w:tr>
      <w:tr w14:paraId="4D7C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7474867">
            <w:pPr>
              <w:spacing w:line="360" w:lineRule="auto"/>
              <w:jc w:val="center"/>
              <w:rPr>
                <w:rFonts w:ascii="宋体" w:hAnsi="宋体"/>
                <w:sz w:val="24"/>
              </w:rPr>
            </w:pPr>
            <w:r>
              <w:rPr>
                <w:rFonts w:hint="eastAsia" w:ascii="宋体" w:hAnsi="宋体"/>
                <w:sz w:val="24"/>
              </w:rPr>
              <w:t>32</w:t>
            </w:r>
          </w:p>
        </w:tc>
        <w:tc>
          <w:tcPr>
            <w:tcW w:w="1217" w:type="dxa"/>
            <w:vAlign w:val="center"/>
          </w:tcPr>
          <w:p w14:paraId="494BA18E">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2E4BDC3">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80967C5">
            <w:pPr>
              <w:widowControl/>
              <w:spacing w:line="360" w:lineRule="auto"/>
              <w:jc w:val="left"/>
              <w:rPr>
                <w:rFonts w:ascii="宋体" w:hAnsi="宋体"/>
                <w:sz w:val="24"/>
              </w:rPr>
            </w:pPr>
            <w:r>
              <w:rPr>
                <w:rFonts w:hint="eastAsia" w:ascii="宋体" w:hAnsi="宋体" w:cs="宋体"/>
                <w:kern w:val="0"/>
                <w:sz w:val="24"/>
              </w:rPr>
              <w:t>数据的存储和传输，软件管理与服务平台的关键数据必须进行加密存储和传输，以避免数据在存储和传输的过程中可能产生的安全隐患。</w:t>
            </w:r>
          </w:p>
        </w:tc>
        <w:tc>
          <w:tcPr>
            <w:tcW w:w="1202" w:type="dxa"/>
            <w:vAlign w:val="center"/>
          </w:tcPr>
          <w:p w14:paraId="466B2F48">
            <w:pPr>
              <w:widowControl/>
              <w:spacing w:line="360" w:lineRule="auto"/>
              <w:jc w:val="center"/>
              <w:rPr>
                <w:rFonts w:ascii="宋体" w:hAnsi="宋体"/>
                <w:sz w:val="24"/>
              </w:rPr>
            </w:pPr>
            <w:r>
              <w:rPr>
                <w:rFonts w:hint="eastAsia" w:ascii="宋体" w:hAnsi="宋体"/>
                <w:sz w:val="24"/>
              </w:rPr>
              <w:t>技术响应偏离表</w:t>
            </w:r>
          </w:p>
        </w:tc>
      </w:tr>
      <w:tr w14:paraId="5602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CEFC46F">
            <w:pPr>
              <w:spacing w:line="360" w:lineRule="auto"/>
              <w:jc w:val="center"/>
              <w:rPr>
                <w:rFonts w:ascii="宋体" w:hAnsi="宋体"/>
                <w:sz w:val="24"/>
              </w:rPr>
            </w:pPr>
            <w:r>
              <w:rPr>
                <w:rFonts w:hint="eastAsia" w:ascii="宋体" w:hAnsi="宋体"/>
                <w:sz w:val="24"/>
              </w:rPr>
              <w:t>33</w:t>
            </w:r>
          </w:p>
        </w:tc>
        <w:tc>
          <w:tcPr>
            <w:tcW w:w="1217" w:type="dxa"/>
            <w:vAlign w:val="center"/>
          </w:tcPr>
          <w:p w14:paraId="16829394">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D099C39">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6712731C">
            <w:pPr>
              <w:widowControl/>
              <w:spacing w:line="360" w:lineRule="auto"/>
              <w:jc w:val="left"/>
              <w:rPr>
                <w:rFonts w:ascii="宋体" w:hAnsi="宋体"/>
                <w:sz w:val="24"/>
              </w:rPr>
            </w:pPr>
            <w:r>
              <w:rPr>
                <w:rFonts w:hint="eastAsia" w:ascii="宋体" w:hAnsi="宋体" w:cs="宋体"/>
                <w:kern w:val="0"/>
                <w:sz w:val="24"/>
              </w:rPr>
              <w:t>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tc>
        <w:tc>
          <w:tcPr>
            <w:tcW w:w="1202" w:type="dxa"/>
            <w:vAlign w:val="center"/>
          </w:tcPr>
          <w:p w14:paraId="75B622C8">
            <w:pPr>
              <w:widowControl/>
              <w:spacing w:line="360" w:lineRule="auto"/>
              <w:jc w:val="center"/>
              <w:rPr>
                <w:rFonts w:ascii="宋体" w:hAnsi="宋体"/>
                <w:sz w:val="24"/>
              </w:rPr>
            </w:pPr>
            <w:r>
              <w:rPr>
                <w:rFonts w:hint="eastAsia" w:ascii="宋体" w:hAnsi="宋体"/>
                <w:sz w:val="24"/>
              </w:rPr>
              <w:t>技术响应偏离表</w:t>
            </w:r>
          </w:p>
        </w:tc>
      </w:tr>
      <w:tr w14:paraId="4276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5213C9F">
            <w:pPr>
              <w:spacing w:line="360" w:lineRule="auto"/>
              <w:jc w:val="center"/>
              <w:rPr>
                <w:rFonts w:ascii="宋体" w:hAnsi="宋体"/>
                <w:sz w:val="24"/>
              </w:rPr>
            </w:pPr>
            <w:r>
              <w:rPr>
                <w:rFonts w:hint="eastAsia" w:ascii="宋体" w:hAnsi="宋体"/>
                <w:sz w:val="24"/>
              </w:rPr>
              <w:t>34</w:t>
            </w:r>
          </w:p>
        </w:tc>
        <w:tc>
          <w:tcPr>
            <w:tcW w:w="1217" w:type="dxa"/>
            <w:vAlign w:val="center"/>
          </w:tcPr>
          <w:p w14:paraId="3F1E415D">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39FCC54">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0925622F">
            <w:pPr>
              <w:widowControl/>
              <w:spacing w:line="360" w:lineRule="auto"/>
              <w:jc w:val="left"/>
              <w:rPr>
                <w:rFonts w:ascii="宋体" w:hAnsi="宋体"/>
                <w:sz w:val="24"/>
              </w:rPr>
            </w:pPr>
            <w:r>
              <w:rPr>
                <w:rFonts w:hint="eastAsia" w:ascii="宋体" w:hAnsi="宋体" w:cs="宋体"/>
                <w:kern w:val="0"/>
                <w:sz w:val="24"/>
              </w:rPr>
              <w:t>软件管理与服务平台需要支持不少于100人的并发访问和下载。</w:t>
            </w:r>
          </w:p>
        </w:tc>
        <w:tc>
          <w:tcPr>
            <w:tcW w:w="1202" w:type="dxa"/>
            <w:vAlign w:val="center"/>
          </w:tcPr>
          <w:p w14:paraId="66FC25E7">
            <w:pPr>
              <w:widowControl/>
              <w:spacing w:line="360" w:lineRule="auto"/>
              <w:jc w:val="center"/>
              <w:rPr>
                <w:rFonts w:ascii="宋体" w:hAnsi="宋体"/>
                <w:sz w:val="24"/>
              </w:rPr>
            </w:pPr>
            <w:r>
              <w:rPr>
                <w:rFonts w:hint="eastAsia" w:ascii="宋体" w:hAnsi="宋体"/>
                <w:sz w:val="24"/>
              </w:rPr>
              <w:t>技术响应偏离表</w:t>
            </w:r>
          </w:p>
        </w:tc>
      </w:tr>
      <w:tr w14:paraId="7222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D18A767">
            <w:pPr>
              <w:spacing w:line="360" w:lineRule="auto"/>
              <w:jc w:val="center"/>
              <w:rPr>
                <w:rFonts w:ascii="宋体" w:hAnsi="宋体"/>
                <w:sz w:val="24"/>
              </w:rPr>
            </w:pPr>
            <w:r>
              <w:rPr>
                <w:rFonts w:hint="eastAsia" w:ascii="宋体" w:hAnsi="宋体"/>
                <w:sz w:val="24"/>
              </w:rPr>
              <w:t>35</w:t>
            </w:r>
          </w:p>
        </w:tc>
        <w:tc>
          <w:tcPr>
            <w:tcW w:w="1217" w:type="dxa"/>
            <w:vAlign w:val="center"/>
          </w:tcPr>
          <w:p w14:paraId="034B9F7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3657A25B">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6C8D827">
            <w:pPr>
              <w:widowControl/>
              <w:spacing w:line="360" w:lineRule="auto"/>
              <w:jc w:val="left"/>
              <w:rPr>
                <w:rFonts w:ascii="宋体" w:hAnsi="宋体" w:cs="宋体"/>
                <w:kern w:val="0"/>
                <w:sz w:val="24"/>
              </w:rPr>
            </w:pPr>
            <w:bookmarkStart w:id="16" w:name="RANGE!A42"/>
            <w:r>
              <w:rPr>
                <w:rFonts w:hint="eastAsia" w:ascii="宋体" w:hAnsi="宋体" w:cs="宋体"/>
                <w:kern w:val="0"/>
                <w:sz w:val="24"/>
              </w:rPr>
              <w:t>本校管理员可以通过软件管理与服务平台的管理后台对系统的以下数据进行自主管理和维护：</w:t>
            </w:r>
          </w:p>
          <w:bookmarkEnd w:id="16"/>
          <w:p w14:paraId="46FCB704">
            <w:pPr>
              <w:widowControl/>
              <w:spacing w:line="360" w:lineRule="auto"/>
              <w:jc w:val="left"/>
              <w:rPr>
                <w:rFonts w:ascii="宋体" w:hAnsi="宋体" w:cs="宋体"/>
                <w:kern w:val="0"/>
                <w:sz w:val="24"/>
              </w:rPr>
            </w:pPr>
            <w:r>
              <w:rPr>
                <w:rFonts w:hint="eastAsia" w:ascii="宋体" w:hAnsi="宋体" w:cs="宋体"/>
                <w:kern w:val="0"/>
                <w:sz w:val="24"/>
              </w:rPr>
              <w:t>a)软件管理与服务平台网站的banner、通告、技术支持联系信息。</w:t>
            </w:r>
          </w:p>
          <w:p w14:paraId="5DF65696">
            <w:pPr>
              <w:widowControl/>
              <w:spacing w:line="360" w:lineRule="auto"/>
              <w:jc w:val="left"/>
              <w:rPr>
                <w:rFonts w:ascii="宋体" w:hAnsi="宋体"/>
                <w:sz w:val="24"/>
              </w:rPr>
            </w:pPr>
            <w:r>
              <w:rPr>
                <w:rFonts w:hint="eastAsia" w:ascii="宋体" w:hAnsi="宋体" w:cs="宋体"/>
                <w:kern w:val="0"/>
                <w:sz w:val="24"/>
              </w:rPr>
              <w:t>b)新增、编辑、删除常见问题、帮助文档、学习资源（包括文档资源和视频资源）、通知公告等内容。</w:t>
            </w:r>
          </w:p>
        </w:tc>
        <w:tc>
          <w:tcPr>
            <w:tcW w:w="1202" w:type="dxa"/>
            <w:vAlign w:val="center"/>
          </w:tcPr>
          <w:p w14:paraId="0401A5B1">
            <w:pPr>
              <w:widowControl/>
              <w:spacing w:line="360" w:lineRule="auto"/>
              <w:jc w:val="center"/>
              <w:rPr>
                <w:rFonts w:ascii="宋体" w:hAnsi="宋体"/>
                <w:sz w:val="24"/>
              </w:rPr>
            </w:pPr>
            <w:r>
              <w:rPr>
                <w:rFonts w:hint="eastAsia" w:ascii="宋体" w:hAnsi="宋体"/>
                <w:sz w:val="24"/>
              </w:rPr>
              <w:t>技术响应偏离表</w:t>
            </w:r>
          </w:p>
        </w:tc>
      </w:tr>
      <w:tr w14:paraId="35E6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D069529">
            <w:pPr>
              <w:spacing w:line="360" w:lineRule="auto"/>
              <w:jc w:val="center"/>
              <w:rPr>
                <w:rFonts w:ascii="宋体" w:hAnsi="宋体"/>
                <w:sz w:val="24"/>
              </w:rPr>
            </w:pPr>
            <w:r>
              <w:rPr>
                <w:rFonts w:hint="eastAsia" w:ascii="宋体" w:hAnsi="宋体"/>
                <w:sz w:val="24"/>
              </w:rPr>
              <w:t>36</w:t>
            </w:r>
          </w:p>
        </w:tc>
        <w:tc>
          <w:tcPr>
            <w:tcW w:w="1217" w:type="dxa"/>
            <w:vAlign w:val="center"/>
          </w:tcPr>
          <w:p w14:paraId="44F6D3AF">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7FC7495">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6134CFA9">
            <w:pPr>
              <w:widowControl/>
              <w:spacing w:line="360" w:lineRule="auto"/>
              <w:jc w:val="left"/>
              <w:rPr>
                <w:rFonts w:ascii="宋体" w:hAnsi="宋体"/>
                <w:sz w:val="24"/>
              </w:rPr>
            </w:pPr>
            <w:bookmarkStart w:id="17" w:name="RANGE!A45"/>
            <w:r>
              <w:rPr>
                <w:rFonts w:hint="eastAsia" w:ascii="宋体" w:hAnsi="宋体" w:cs="宋体"/>
                <w:kern w:val="0"/>
                <w:sz w:val="24"/>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bookmarkEnd w:id="17"/>
          </w:p>
        </w:tc>
        <w:tc>
          <w:tcPr>
            <w:tcW w:w="1202" w:type="dxa"/>
            <w:vAlign w:val="center"/>
          </w:tcPr>
          <w:p w14:paraId="6B2A34CE">
            <w:pPr>
              <w:widowControl/>
              <w:spacing w:line="360" w:lineRule="auto"/>
              <w:jc w:val="center"/>
              <w:rPr>
                <w:rFonts w:ascii="宋体" w:hAnsi="宋体"/>
                <w:sz w:val="24"/>
              </w:rPr>
            </w:pPr>
            <w:r>
              <w:rPr>
                <w:rFonts w:hint="eastAsia" w:ascii="宋体" w:hAnsi="宋体"/>
                <w:sz w:val="24"/>
              </w:rPr>
              <w:t>技术响应偏离表</w:t>
            </w:r>
          </w:p>
        </w:tc>
      </w:tr>
      <w:tr w14:paraId="7999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79DB4DE8">
            <w:pPr>
              <w:spacing w:line="360" w:lineRule="auto"/>
              <w:jc w:val="center"/>
              <w:rPr>
                <w:rFonts w:ascii="宋体" w:hAnsi="宋体"/>
                <w:sz w:val="24"/>
              </w:rPr>
            </w:pPr>
            <w:r>
              <w:rPr>
                <w:rFonts w:hint="eastAsia" w:ascii="宋体" w:hAnsi="宋体"/>
                <w:sz w:val="24"/>
              </w:rPr>
              <w:t>37</w:t>
            </w:r>
          </w:p>
        </w:tc>
        <w:tc>
          <w:tcPr>
            <w:tcW w:w="1217" w:type="dxa"/>
            <w:vAlign w:val="center"/>
          </w:tcPr>
          <w:p w14:paraId="3A127350">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6C83B8C9">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2C9960FE">
            <w:pPr>
              <w:widowControl/>
              <w:spacing w:line="360" w:lineRule="auto"/>
              <w:jc w:val="left"/>
              <w:rPr>
                <w:rFonts w:ascii="宋体" w:hAnsi="宋体"/>
                <w:sz w:val="24"/>
              </w:rPr>
            </w:pPr>
            <w:r>
              <w:rPr>
                <w:rFonts w:hint="eastAsia" w:ascii="宋体" w:hAnsi="宋体" w:cs="宋体"/>
                <w:kern w:val="0"/>
                <w:sz w:val="24"/>
              </w:rPr>
              <w:t>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季度每次。每次巡检应当出具相应的巡检报告，并将巡检包括发送给负责系统对接和管理的老师。巡检发现问题应当在24小时内完成处理。</w:t>
            </w:r>
          </w:p>
        </w:tc>
        <w:tc>
          <w:tcPr>
            <w:tcW w:w="1202" w:type="dxa"/>
            <w:vAlign w:val="center"/>
          </w:tcPr>
          <w:p w14:paraId="0ED5EA86">
            <w:pPr>
              <w:widowControl/>
              <w:spacing w:line="360" w:lineRule="auto"/>
              <w:jc w:val="center"/>
              <w:rPr>
                <w:rFonts w:ascii="宋体" w:hAnsi="宋体"/>
                <w:sz w:val="24"/>
              </w:rPr>
            </w:pPr>
            <w:r>
              <w:rPr>
                <w:rFonts w:hint="eastAsia" w:ascii="宋体" w:hAnsi="宋体"/>
                <w:sz w:val="24"/>
              </w:rPr>
              <w:t>技术响应偏离表</w:t>
            </w:r>
          </w:p>
        </w:tc>
      </w:tr>
      <w:tr w14:paraId="7C4C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114198F">
            <w:pPr>
              <w:spacing w:line="360" w:lineRule="auto"/>
              <w:jc w:val="center"/>
              <w:rPr>
                <w:rFonts w:ascii="宋体" w:hAnsi="宋体"/>
                <w:sz w:val="24"/>
              </w:rPr>
            </w:pPr>
            <w:r>
              <w:rPr>
                <w:rFonts w:hint="eastAsia" w:ascii="宋体" w:hAnsi="宋体"/>
                <w:sz w:val="24"/>
              </w:rPr>
              <w:t>38</w:t>
            </w:r>
          </w:p>
        </w:tc>
        <w:tc>
          <w:tcPr>
            <w:tcW w:w="1217" w:type="dxa"/>
            <w:vAlign w:val="center"/>
          </w:tcPr>
          <w:p w14:paraId="27484AB7">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21706AF">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6D45A26D">
            <w:pPr>
              <w:widowControl/>
              <w:spacing w:line="360" w:lineRule="auto"/>
              <w:jc w:val="left"/>
              <w:rPr>
                <w:rFonts w:ascii="宋体" w:hAnsi="宋体" w:cs="宋体"/>
                <w:kern w:val="0"/>
                <w:sz w:val="24"/>
              </w:rPr>
            </w:pPr>
            <w:r>
              <w:rPr>
                <w:rFonts w:hint="eastAsia" w:ascii="宋体" w:hAnsi="宋体" w:cs="宋体"/>
                <w:kern w:val="0"/>
                <w:sz w:val="24"/>
              </w:rPr>
              <w:t>知识产权要求</w:t>
            </w:r>
          </w:p>
          <w:p w14:paraId="1BFD86FF">
            <w:pPr>
              <w:widowControl/>
              <w:spacing w:line="360" w:lineRule="auto"/>
              <w:jc w:val="left"/>
              <w:rPr>
                <w:rFonts w:ascii="宋体" w:hAnsi="宋体"/>
                <w:sz w:val="24"/>
              </w:rPr>
            </w:pPr>
            <w:r>
              <w:rPr>
                <w:rFonts w:hint="eastAsia" w:ascii="宋体" w:hAnsi="宋体" w:cs="宋体"/>
                <w:kern w:val="0"/>
                <w:sz w:val="24"/>
              </w:rPr>
              <w:t>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tc>
        <w:tc>
          <w:tcPr>
            <w:tcW w:w="1202" w:type="dxa"/>
            <w:vAlign w:val="center"/>
          </w:tcPr>
          <w:p w14:paraId="7AD982EB">
            <w:pPr>
              <w:widowControl/>
              <w:spacing w:line="360" w:lineRule="auto"/>
              <w:jc w:val="center"/>
              <w:rPr>
                <w:rFonts w:ascii="宋体" w:hAnsi="宋体"/>
                <w:sz w:val="24"/>
              </w:rPr>
            </w:pPr>
            <w:r>
              <w:rPr>
                <w:rFonts w:hint="eastAsia" w:ascii="宋体" w:hAnsi="宋体"/>
                <w:sz w:val="24"/>
              </w:rPr>
              <w:t>技术响应偏离表</w:t>
            </w:r>
          </w:p>
        </w:tc>
      </w:tr>
      <w:tr w14:paraId="2B81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43CCB02">
            <w:pPr>
              <w:spacing w:line="360" w:lineRule="auto"/>
              <w:jc w:val="center"/>
              <w:rPr>
                <w:rFonts w:ascii="宋体" w:hAnsi="宋体"/>
                <w:sz w:val="24"/>
              </w:rPr>
            </w:pPr>
            <w:r>
              <w:rPr>
                <w:rFonts w:hint="eastAsia" w:ascii="宋体" w:hAnsi="宋体"/>
                <w:sz w:val="24"/>
              </w:rPr>
              <w:t>39</w:t>
            </w:r>
          </w:p>
        </w:tc>
        <w:tc>
          <w:tcPr>
            <w:tcW w:w="1217" w:type="dxa"/>
            <w:vAlign w:val="center"/>
          </w:tcPr>
          <w:p w14:paraId="170ABCA6">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0CD48A4A">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5072FC89">
            <w:pPr>
              <w:widowControl/>
              <w:spacing w:line="360" w:lineRule="auto"/>
              <w:jc w:val="left"/>
              <w:rPr>
                <w:rFonts w:ascii="宋体" w:hAnsi="宋体" w:cs="宋体"/>
                <w:kern w:val="0"/>
                <w:sz w:val="24"/>
              </w:rPr>
            </w:pPr>
            <w:r>
              <w:rPr>
                <w:rFonts w:hint="eastAsia" w:ascii="宋体" w:hAnsi="宋体" w:cs="宋体"/>
                <w:kern w:val="0"/>
                <w:sz w:val="24"/>
              </w:rPr>
              <w:t>平台系统支持及服务响应标准</w:t>
            </w:r>
          </w:p>
          <w:p w14:paraId="7CF1D68C">
            <w:pPr>
              <w:widowControl/>
              <w:spacing w:line="360" w:lineRule="auto"/>
              <w:jc w:val="left"/>
              <w:rPr>
                <w:rFonts w:ascii="宋体" w:hAnsi="宋体" w:cs="宋体"/>
                <w:kern w:val="0"/>
                <w:sz w:val="24"/>
              </w:rPr>
            </w:pPr>
            <w:r>
              <w:rPr>
                <w:rFonts w:hint="eastAsia" w:ascii="宋体" w:hAnsi="宋体" w:cs="宋体"/>
                <w:kern w:val="0"/>
                <w:sz w:val="24"/>
              </w:rPr>
              <w:t>针对校内用户在使用软件管理与服务平台提供的各项功能中遇到的各种问题提供全面的技术支持服务，要求达到：</w:t>
            </w:r>
          </w:p>
          <w:p w14:paraId="15D68436">
            <w:pPr>
              <w:widowControl/>
              <w:spacing w:line="360" w:lineRule="auto"/>
              <w:jc w:val="left"/>
              <w:rPr>
                <w:rFonts w:ascii="宋体" w:hAnsi="宋体" w:cs="宋体"/>
                <w:kern w:val="0"/>
                <w:sz w:val="24"/>
              </w:rPr>
            </w:pPr>
            <w:r>
              <w:rPr>
                <w:rFonts w:hint="eastAsia" w:ascii="宋体" w:hAnsi="宋体" w:cs="宋体"/>
                <w:kern w:val="0"/>
                <w:sz w:val="24"/>
              </w:rPr>
              <w:t>a)向校内用户提供软件管理与服务平台咨询使用提供5x8的技术支持服务；</w:t>
            </w:r>
          </w:p>
          <w:p w14:paraId="2FCC35A7">
            <w:pPr>
              <w:widowControl/>
              <w:spacing w:line="360" w:lineRule="auto"/>
              <w:jc w:val="left"/>
              <w:rPr>
                <w:rFonts w:ascii="宋体" w:hAnsi="宋体" w:cs="宋体"/>
                <w:kern w:val="0"/>
                <w:sz w:val="24"/>
              </w:rPr>
            </w:pPr>
            <w:r>
              <w:rPr>
                <w:rFonts w:hint="eastAsia" w:ascii="宋体" w:hAnsi="宋体" w:cs="宋体"/>
                <w:kern w:val="0"/>
                <w:sz w:val="24"/>
              </w:rPr>
              <w:t>b)提供400技术专线服务，以电话、即时通讯、电子邮件的方式为校内用户提供技术支持服务；</w:t>
            </w:r>
          </w:p>
          <w:p w14:paraId="75604708">
            <w:pPr>
              <w:widowControl/>
              <w:spacing w:line="360" w:lineRule="auto"/>
              <w:jc w:val="left"/>
              <w:rPr>
                <w:rFonts w:ascii="宋体" w:hAnsi="宋体"/>
                <w:sz w:val="24"/>
              </w:rPr>
            </w:pPr>
            <w:r>
              <w:rPr>
                <w:rFonts w:hint="eastAsia" w:ascii="宋体" w:hAnsi="宋体" w:cs="宋体"/>
                <w:kern w:val="0"/>
                <w:sz w:val="24"/>
              </w:rPr>
              <w:t xml:space="preserve">c)服务需要做到即时响应，问题解决时间不得超过24小时； </w:t>
            </w:r>
          </w:p>
        </w:tc>
        <w:tc>
          <w:tcPr>
            <w:tcW w:w="1202" w:type="dxa"/>
            <w:vAlign w:val="center"/>
          </w:tcPr>
          <w:p w14:paraId="5E5F0FE6">
            <w:pPr>
              <w:widowControl/>
              <w:spacing w:line="360" w:lineRule="auto"/>
              <w:jc w:val="center"/>
              <w:rPr>
                <w:rFonts w:ascii="宋体" w:hAnsi="宋体"/>
                <w:sz w:val="24"/>
              </w:rPr>
            </w:pPr>
            <w:r>
              <w:rPr>
                <w:rFonts w:hint="eastAsia" w:ascii="宋体" w:hAnsi="宋体"/>
                <w:sz w:val="24"/>
              </w:rPr>
              <w:t>技术响应偏离表</w:t>
            </w:r>
          </w:p>
        </w:tc>
      </w:tr>
      <w:tr w14:paraId="0D3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2015C85">
            <w:pPr>
              <w:spacing w:line="360" w:lineRule="auto"/>
              <w:jc w:val="center"/>
              <w:rPr>
                <w:rFonts w:ascii="宋体" w:hAnsi="宋体"/>
                <w:sz w:val="24"/>
              </w:rPr>
            </w:pPr>
            <w:r>
              <w:rPr>
                <w:rFonts w:hint="eastAsia" w:ascii="宋体" w:hAnsi="宋体"/>
                <w:sz w:val="24"/>
              </w:rPr>
              <w:t>40</w:t>
            </w:r>
          </w:p>
        </w:tc>
        <w:tc>
          <w:tcPr>
            <w:tcW w:w="1217" w:type="dxa"/>
            <w:vAlign w:val="center"/>
          </w:tcPr>
          <w:p w14:paraId="5455AF63">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6C0EBBA">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448C2A6">
            <w:pPr>
              <w:widowControl/>
              <w:spacing w:line="360" w:lineRule="auto"/>
              <w:jc w:val="left"/>
              <w:rPr>
                <w:rFonts w:ascii="宋体" w:hAnsi="宋体" w:cs="宋体"/>
                <w:kern w:val="0"/>
                <w:sz w:val="24"/>
              </w:rPr>
            </w:pPr>
            <w:r>
              <w:rPr>
                <w:rFonts w:hint="eastAsia" w:ascii="宋体" w:hAnsi="宋体" w:cs="宋体"/>
                <w:kern w:val="0"/>
                <w:sz w:val="24"/>
              </w:rPr>
              <w:t>培训要求</w:t>
            </w:r>
          </w:p>
          <w:p w14:paraId="151B067D">
            <w:pPr>
              <w:widowControl/>
              <w:spacing w:line="360" w:lineRule="auto"/>
              <w:jc w:val="left"/>
              <w:rPr>
                <w:rFonts w:ascii="宋体" w:hAnsi="宋体"/>
                <w:sz w:val="24"/>
              </w:rPr>
            </w:pPr>
            <w:r>
              <w:rPr>
                <w:rFonts w:hint="eastAsia" w:ascii="宋体" w:hAnsi="宋体" w:cs="宋体"/>
                <w:kern w:val="0"/>
                <w:sz w:val="24"/>
              </w:rPr>
              <w:t>软件管理与服务平台服务提供商，提供每年不少于2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tc>
        <w:tc>
          <w:tcPr>
            <w:tcW w:w="1202" w:type="dxa"/>
            <w:vAlign w:val="center"/>
          </w:tcPr>
          <w:p w14:paraId="3A8DE481">
            <w:pPr>
              <w:widowControl/>
              <w:spacing w:line="360" w:lineRule="auto"/>
              <w:jc w:val="center"/>
              <w:rPr>
                <w:rFonts w:ascii="宋体" w:hAnsi="宋体"/>
                <w:sz w:val="24"/>
              </w:rPr>
            </w:pPr>
            <w:r>
              <w:rPr>
                <w:rFonts w:hint="eastAsia" w:ascii="宋体" w:hAnsi="宋体"/>
                <w:sz w:val="24"/>
              </w:rPr>
              <w:t>技术响应偏离表</w:t>
            </w:r>
          </w:p>
        </w:tc>
      </w:tr>
      <w:tr w14:paraId="0FF4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6A5B1AE">
            <w:pPr>
              <w:spacing w:line="360" w:lineRule="auto"/>
              <w:jc w:val="center"/>
              <w:rPr>
                <w:rFonts w:ascii="宋体" w:hAnsi="宋体"/>
                <w:sz w:val="24"/>
              </w:rPr>
            </w:pPr>
            <w:r>
              <w:rPr>
                <w:rFonts w:hint="eastAsia" w:ascii="宋体" w:hAnsi="宋体"/>
                <w:sz w:val="24"/>
              </w:rPr>
              <w:t>41</w:t>
            </w:r>
          </w:p>
        </w:tc>
        <w:tc>
          <w:tcPr>
            <w:tcW w:w="1217" w:type="dxa"/>
            <w:vAlign w:val="center"/>
          </w:tcPr>
          <w:p w14:paraId="1E9ABBE7">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21B002D3">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420AA0B0">
            <w:pPr>
              <w:widowControl/>
              <w:spacing w:line="360" w:lineRule="auto"/>
              <w:jc w:val="left"/>
              <w:rPr>
                <w:rFonts w:ascii="宋体" w:hAnsi="宋体"/>
                <w:sz w:val="24"/>
              </w:rPr>
            </w:pPr>
            <w:r>
              <w:rPr>
                <w:rFonts w:hint="eastAsia" w:ascii="宋体" w:hAnsi="宋体" w:cs="宋体"/>
                <w:kern w:val="0"/>
                <w:sz w:val="24"/>
              </w:rPr>
              <w:t>售后服务：提供 7×24 小时售后服务热线；在接到采购人通知维修后服务随时响应。若运用通讯工具不能解决问题，必须在6小时之内到达现场予以解</w:t>
            </w:r>
          </w:p>
        </w:tc>
        <w:tc>
          <w:tcPr>
            <w:tcW w:w="1202" w:type="dxa"/>
            <w:vAlign w:val="center"/>
          </w:tcPr>
          <w:p w14:paraId="2E1F215F">
            <w:pPr>
              <w:widowControl/>
              <w:spacing w:line="360" w:lineRule="auto"/>
              <w:jc w:val="center"/>
              <w:rPr>
                <w:rFonts w:ascii="宋体" w:hAnsi="宋体"/>
                <w:sz w:val="24"/>
              </w:rPr>
            </w:pPr>
            <w:r>
              <w:rPr>
                <w:rFonts w:hint="eastAsia" w:ascii="宋体" w:hAnsi="宋体"/>
                <w:sz w:val="24"/>
              </w:rPr>
              <w:t>技术响应偏离表</w:t>
            </w:r>
          </w:p>
        </w:tc>
      </w:tr>
      <w:tr w14:paraId="397D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D88C008">
            <w:pPr>
              <w:spacing w:line="360" w:lineRule="auto"/>
              <w:jc w:val="center"/>
              <w:rPr>
                <w:rFonts w:ascii="宋体" w:hAnsi="宋体"/>
                <w:sz w:val="24"/>
              </w:rPr>
            </w:pPr>
          </w:p>
        </w:tc>
        <w:tc>
          <w:tcPr>
            <w:tcW w:w="1217" w:type="dxa"/>
            <w:vAlign w:val="center"/>
          </w:tcPr>
          <w:p w14:paraId="55A81702">
            <w:pPr>
              <w:widowControl/>
              <w:spacing w:line="360" w:lineRule="auto"/>
              <w:jc w:val="center"/>
              <w:rPr>
                <w:rFonts w:ascii="宋体" w:hAnsi="宋体"/>
                <w:sz w:val="24"/>
              </w:rPr>
            </w:pPr>
            <w:r>
              <w:rPr>
                <w:rFonts w:ascii="宋体" w:hAnsi="宋体"/>
                <w:sz w:val="24"/>
              </w:rPr>
              <w:t>▲</w:t>
            </w:r>
          </w:p>
        </w:tc>
        <w:tc>
          <w:tcPr>
            <w:tcW w:w="1418" w:type="dxa"/>
            <w:vAlign w:val="center"/>
          </w:tcPr>
          <w:p w14:paraId="2CB58E5D">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01EE1BBC">
            <w:pPr>
              <w:widowControl/>
              <w:spacing w:line="360" w:lineRule="auto"/>
              <w:jc w:val="left"/>
              <w:rPr>
                <w:rFonts w:ascii="宋体" w:hAnsi="宋体"/>
                <w:sz w:val="24"/>
              </w:rPr>
            </w:pPr>
            <w:r>
              <w:rPr>
                <w:rFonts w:hint="eastAsia" w:ascii="宋体" w:hAnsi="宋体"/>
                <w:sz w:val="24"/>
              </w:rPr>
              <w:t>1.软件管理与服务平台管理后台提供数据可视化查询统计功能，能根据具体时间查询显示用户情况，软件下载，激活分配，软件激活，部门激活等相关数据。</w:t>
            </w:r>
          </w:p>
        </w:tc>
        <w:tc>
          <w:tcPr>
            <w:tcW w:w="1202" w:type="dxa"/>
            <w:vAlign w:val="center"/>
          </w:tcPr>
          <w:p w14:paraId="5B738FF3">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2545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06759CC3">
            <w:pPr>
              <w:spacing w:line="360" w:lineRule="auto"/>
              <w:jc w:val="center"/>
              <w:rPr>
                <w:rFonts w:ascii="宋体" w:hAnsi="宋体"/>
                <w:sz w:val="24"/>
              </w:rPr>
            </w:pPr>
          </w:p>
        </w:tc>
        <w:tc>
          <w:tcPr>
            <w:tcW w:w="1217" w:type="dxa"/>
            <w:vAlign w:val="center"/>
          </w:tcPr>
          <w:p w14:paraId="4EC5FE81">
            <w:pPr>
              <w:widowControl/>
              <w:spacing w:line="360" w:lineRule="auto"/>
              <w:jc w:val="center"/>
              <w:rPr>
                <w:rFonts w:ascii="宋体" w:hAnsi="宋体"/>
                <w:sz w:val="24"/>
              </w:rPr>
            </w:pPr>
            <w:r>
              <w:rPr>
                <w:rFonts w:ascii="宋体" w:hAnsi="宋体"/>
                <w:sz w:val="24"/>
              </w:rPr>
              <w:t>▲</w:t>
            </w:r>
          </w:p>
        </w:tc>
        <w:tc>
          <w:tcPr>
            <w:tcW w:w="1418" w:type="dxa"/>
            <w:vAlign w:val="center"/>
          </w:tcPr>
          <w:p w14:paraId="395FD611">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9D83DB4">
            <w:pPr>
              <w:widowControl/>
              <w:spacing w:line="360" w:lineRule="auto"/>
              <w:jc w:val="left"/>
              <w:rPr>
                <w:rFonts w:ascii="宋体" w:hAnsi="宋体"/>
                <w:sz w:val="24"/>
              </w:rPr>
            </w:pPr>
            <w:r>
              <w:rPr>
                <w:rFonts w:hint="eastAsia" w:ascii="宋体" w:hAnsi="宋体"/>
                <w:sz w:val="24"/>
              </w:rPr>
              <w:t>2.平台激活客户端须提供软件检查功能，自行采集操作系统、办公软件等软件相关信息。</w:t>
            </w:r>
          </w:p>
        </w:tc>
        <w:tc>
          <w:tcPr>
            <w:tcW w:w="1202" w:type="dxa"/>
            <w:vAlign w:val="center"/>
          </w:tcPr>
          <w:p w14:paraId="3C2F46BB">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0694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0340D8D4">
            <w:pPr>
              <w:spacing w:line="360" w:lineRule="auto"/>
              <w:jc w:val="center"/>
              <w:rPr>
                <w:rFonts w:ascii="宋体" w:hAnsi="宋体"/>
                <w:sz w:val="24"/>
              </w:rPr>
            </w:pPr>
          </w:p>
        </w:tc>
        <w:tc>
          <w:tcPr>
            <w:tcW w:w="1217" w:type="dxa"/>
            <w:vAlign w:val="center"/>
          </w:tcPr>
          <w:p w14:paraId="0B9156A3">
            <w:pPr>
              <w:widowControl/>
              <w:spacing w:line="360" w:lineRule="auto"/>
              <w:jc w:val="center"/>
              <w:rPr>
                <w:rFonts w:ascii="宋体" w:hAnsi="宋体"/>
                <w:sz w:val="24"/>
              </w:rPr>
            </w:pPr>
            <w:r>
              <w:rPr>
                <w:rFonts w:ascii="宋体" w:hAnsi="宋体"/>
                <w:sz w:val="24"/>
              </w:rPr>
              <w:t>▲</w:t>
            </w:r>
          </w:p>
        </w:tc>
        <w:tc>
          <w:tcPr>
            <w:tcW w:w="1418" w:type="dxa"/>
            <w:vAlign w:val="center"/>
          </w:tcPr>
          <w:p w14:paraId="70CD91E1">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6576B8A4">
            <w:pPr>
              <w:widowControl/>
              <w:spacing w:line="360" w:lineRule="auto"/>
              <w:jc w:val="left"/>
              <w:rPr>
                <w:rFonts w:ascii="宋体" w:hAnsi="宋体"/>
                <w:sz w:val="24"/>
              </w:rPr>
            </w:pPr>
            <w:r>
              <w:rPr>
                <w:rFonts w:hint="eastAsia" w:ascii="宋体" w:hAnsi="宋体"/>
                <w:sz w:val="24"/>
              </w:rPr>
              <w:t>3.平台具有福昕PDF 编辑器，金山WPS 等下载试用功能模块，根据学校需求定制化。</w:t>
            </w:r>
          </w:p>
        </w:tc>
        <w:tc>
          <w:tcPr>
            <w:tcW w:w="1202" w:type="dxa"/>
            <w:vAlign w:val="center"/>
          </w:tcPr>
          <w:p w14:paraId="59EA913A">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2B82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B92E6FF">
            <w:pPr>
              <w:spacing w:line="360" w:lineRule="auto"/>
              <w:jc w:val="center"/>
              <w:rPr>
                <w:rFonts w:ascii="宋体" w:hAnsi="宋体"/>
                <w:sz w:val="24"/>
              </w:rPr>
            </w:pPr>
          </w:p>
        </w:tc>
        <w:tc>
          <w:tcPr>
            <w:tcW w:w="1217" w:type="dxa"/>
            <w:vAlign w:val="center"/>
          </w:tcPr>
          <w:p w14:paraId="7638CC69">
            <w:pPr>
              <w:widowControl/>
              <w:spacing w:line="360" w:lineRule="auto"/>
              <w:jc w:val="center"/>
              <w:rPr>
                <w:rFonts w:ascii="宋体" w:hAnsi="宋体"/>
                <w:sz w:val="24"/>
              </w:rPr>
            </w:pPr>
            <w:r>
              <w:rPr>
                <w:rFonts w:ascii="宋体" w:hAnsi="宋体"/>
                <w:sz w:val="24"/>
              </w:rPr>
              <w:t>▲</w:t>
            </w:r>
          </w:p>
        </w:tc>
        <w:tc>
          <w:tcPr>
            <w:tcW w:w="1418" w:type="dxa"/>
            <w:vAlign w:val="center"/>
          </w:tcPr>
          <w:p w14:paraId="76FF65DD">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33A51C3">
            <w:pPr>
              <w:widowControl/>
              <w:spacing w:line="360" w:lineRule="auto"/>
              <w:jc w:val="left"/>
              <w:rPr>
                <w:rFonts w:ascii="宋体" w:hAnsi="宋体"/>
                <w:sz w:val="24"/>
              </w:rPr>
            </w:pPr>
            <w:r>
              <w:rPr>
                <w:rFonts w:hint="eastAsia" w:ascii="宋体" w:hAnsi="宋体"/>
                <w:sz w:val="24"/>
              </w:rPr>
              <w:t>4.满足简单易用需求，平台无需登录，可以通过学校的统一门户直接一键启动激活客户端。</w:t>
            </w:r>
          </w:p>
        </w:tc>
        <w:tc>
          <w:tcPr>
            <w:tcW w:w="1202" w:type="dxa"/>
            <w:vAlign w:val="center"/>
          </w:tcPr>
          <w:p w14:paraId="1E7C210D">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0DA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07D737B0">
            <w:pPr>
              <w:spacing w:line="360" w:lineRule="auto"/>
              <w:jc w:val="center"/>
              <w:rPr>
                <w:rFonts w:ascii="宋体" w:hAnsi="宋体"/>
                <w:sz w:val="24"/>
              </w:rPr>
            </w:pPr>
          </w:p>
        </w:tc>
        <w:tc>
          <w:tcPr>
            <w:tcW w:w="1217" w:type="dxa"/>
            <w:vAlign w:val="center"/>
          </w:tcPr>
          <w:p w14:paraId="1AE44F87">
            <w:pPr>
              <w:widowControl/>
              <w:spacing w:line="360" w:lineRule="auto"/>
              <w:jc w:val="center"/>
              <w:rPr>
                <w:rFonts w:ascii="宋体" w:hAnsi="宋体"/>
                <w:sz w:val="24"/>
              </w:rPr>
            </w:pPr>
            <w:r>
              <w:rPr>
                <w:rFonts w:ascii="宋体" w:hAnsi="宋体"/>
                <w:sz w:val="24"/>
              </w:rPr>
              <w:t>▲</w:t>
            </w:r>
          </w:p>
        </w:tc>
        <w:tc>
          <w:tcPr>
            <w:tcW w:w="1418" w:type="dxa"/>
            <w:vAlign w:val="center"/>
          </w:tcPr>
          <w:p w14:paraId="48B68896">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98E1886">
            <w:pPr>
              <w:widowControl/>
              <w:spacing w:line="360" w:lineRule="auto"/>
              <w:jc w:val="left"/>
              <w:rPr>
                <w:rFonts w:ascii="宋体" w:hAnsi="宋体"/>
                <w:sz w:val="24"/>
              </w:rPr>
            </w:pPr>
            <w:r>
              <w:rPr>
                <w:rFonts w:hint="eastAsia" w:ascii="宋体" w:hAnsi="宋体"/>
                <w:sz w:val="24"/>
              </w:rPr>
              <w:t>5.平台可以对包括（但是不限于）Microsoft Windows、Microsoft Office、Adobe、WPS，福昕PDF，统信UOS 软件等软件提供下载和管理界面。</w:t>
            </w:r>
          </w:p>
        </w:tc>
        <w:tc>
          <w:tcPr>
            <w:tcW w:w="1202" w:type="dxa"/>
            <w:vAlign w:val="center"/>
          </w:tcPr>
          <w:p w14:paraId="77D4E493">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5304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1895FBB8">
            <w:pPr>
              <w:spacing w:line="360" w:lineRule="auto"/>
              <w:jc w:val="center"/>
              <w:rPr>
                <w:rFonts w:ascii="宋体" w:hAnsi="宋体"/>
                <w:sz w:val="24"/>
              </w:rPr>
            </w:pPr>
          </w:p>
        </w:tc>
        <w:tc>
          <w:tcPr>
            <w:tcW w:w="1217" w:type="dxa"/>
            <w:vAlign w:val="center"/>
          </w:tcPr>
          <w:p w14:paraId="1B319505">
            <w:pPr>
              <w:widowControl/>
              <w:spacing w:line="360" w:lineRule="auto"/>
              <w:jc w:val="center"/>
              <w:rPr>
                <w:rFonts w:ascii="宋体" w:hAnsi="宋体"/>
                <w:sz w:val="24"/>
              </w:rPr>
            </w:pPr>
            <w:r>
              <w:rPr>
                <w:rFonts w:ascii="宋体" w:hAnsi="宋体"/>
                <w:sz w:val="24"/>
              </w:rPr>
              <w:t>▲</w:t>
            </w:r>
          </w:p>
        </w:tc>
        <w:tc>
          <w:tcPr>
            <w:tcW w:w="1418" w:type="dxa"/>
            <w:vAlign w:val="center"/>
          </w:tcPr>
          <w:p w14:paraId="3E79435E">
            <w:pPr>
              <w:widowControl/>
              <w:spacing w:line="360" w:lineRule="auto"/>
              <w:jc w:val="center"/>
              <w:rPr>
                <w:rFonts w:ascii="宋体" w:hAnsi="宋体"/>
                <w:sz w:val="24"/>
              </w:rPr>
            </w:pPr>
            <w:r>
              <w:rPr>
                <w:rFonts w:hint="eastAsia" w:ascii="宋体" w:hAnsi="宋体"/>
                <w:sz w:val="24"/>
              </w:rPr>
              <w:t>软件管理与服务平台及售后服务</w:t>
            </w:r>
          </w:p>
        </w:tc>
        <w:tc>
          <w:tcPr>
            <w:tcW w:w="3872" w:type="dxa"/>
            <w:vAlign w:val="center"/>
          </w:tcPr>
          <w:p w14:paraId="37255213">
            <w:pPr>
              <w:widowControl/>
              <w:spacing w:line="360" w:lineRule="auto"/>
              <w:jc w:val="center"/>
              <w:rPr>
                <w:rFonts w:ascii="宋体" w:hAnsi="宋体"/>
                <w:sz w:val="24"/>
              </w:rPr>
            </w:pPr>
            <w:r>
              <w:rPr>
                <w:rFonts w:hint="eastAsia" w:ascii="宋体" w:hAnsi="宋体"/>
                <w:sz w:val="24"/>
              </w:rPr>
              <w:t>6.平台能对软件进行多版本控制管理，管理员可以在后台自由对对软件版本进行管理控制。</w:t>
            </w:r>
          </w:p>
        </w:tc>
        <w:tc>
          <w:tcPr>
            <w:tcW w:w="1202" w:type="dxa"/>
            <w:vAlign w:val="center"/>
          </w:tcPr>
          <w:p w14:paraId="65BC3FD1">
            <w:pPr>
              <w:widowControl/>
              <w:spacing w:line="360" w:lineRule="auto"/>
              <w:jc w:val="center"/>
              <w:rPr>
                <w:rFonts w:ascii="宋体" w:hAnsi="宋体"/>
                <w:sz w:val="24"/>
              </w:rPr>
            </w:pPr>
            <w:r>
              <w:rPr>
                <w:rFonts w:hint="eastAsia" w:ascii="宋体" w:hAnsi="宋体"/>
                <w:sz w:val="24"/>
              </w:rPr>
              <w:t>评审依据：响应文件中提供相关截图证明</w:t>
            </w:r>
          </w:p>
        </w:tc>
      </w:tr>
      <w:tr w14:paraId="715A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E719F2D">
            <w:pPr>
              <w:spacing w:line="360" w:lineRule="auto"/>
              <w:jc w:val="center"/>
              <w:rPr>
                <w:rFonts w:ascii="宋体" w:hAnsi="宋体"/>
                <w:sz w:val="24"/>
              </w:rPr>
            </w:pPr>
          </w:p>
        </w:tc>
        <w:tc>
          <w:tcPr>
            <w:tcW w:w="1217" w:type="dxa"/>
            <w:vAlign w:val="center"/>
          </w:tcPr>
          <w:p w14:paraId="19F98A5D">
            <w:pPr>
              <w:widowControl/>
              <w:spacing w:line="360" w:lineRule="auto"/>
              <w:jc w:val="center"/>
              <w:rPr>
                <w:rFonts w:ascii="宋体" w:hAnsi="宋体"/>
                <w:sz w:val="24"/>
              </w:rPr>
            </w:pPr>
            <w:r>
              <w:rPr>
                <w:rFonts w:ascii="宋体" w:hAnsi="宋体"/>
                <w:sz w:val="24"/>
              </w:rPr>
              <w:t>▲</w:t>
            </w:r>
          </w:p>
        </w:tc>
        <w:tc>
          <w:tcPr>
            <w:tcW w:w="1418" w:type="dxa"/>
            <w:vAlign w:val="center"/>
          </w:tcPr>
          <w:p w14:paraId="2AD9BFC6">
            <w:pPr>
              <w:widowControl/>
              <w:spacing w:line="360" w:lineRule="auto"/>
              <w:jc w:val="center"/>
              <w:rPr>
                <w:rFonts w:ascii="宋体" w:hAnsi="宋体"/>
                <w:sz w:val="24"/>
              </w:rPr>
            </w:pPr>
            <w:r>
              <w:rPr>
                <w:rFonts w:hint="eastAsia" w:ascii="宋体" w:hAnsi="宋体"/>
                <w:sz w:val="24"/>
              </w:rPr>
              <w:t>实施方案</w:t>
            </w:r>
          </w:p>
        </w:tc>
        <w:tc>
          <w:tcPr>
            <w:tcW w:w="3872" w:type="dxa"/>
            <w:vAlign w:val="center"/>
          </w:tcPr>
          <w:p w14:paraId="751C9655">
            <w:pPr>
              <w:widowControl/>
              <w:spacing w:line="360" w:lineRule="auto"/>
              <w:jc w:val="left"/>
              <w:rPr>
                <w:rFonts w:ascii="宋体" w:hAnsi="宋体"/>
                <w:sz w:val="24"/>
              </w:rPr>
            </w:pPr>
            <w:r>
              <w:rPr>
                <w:rFonts w:hint="eastAsia" w:ascii="宋体" w:hAnsi="宋体"/>
                <w:sz w:val="24"/>
              </w:rPr>
              <w:t>提供针对本项目的总体实施方案，满足采购人需求。</w:t>
            </w:r>
          </w:p>
        </w:tc>
        <w:tc>
          <w:tcPr>
            <w:tcW w:w="1202" w:type="dxa"/>
            <w:vAlign w:val="center"/>
          </w:tcPr>
          <w:p w14:paraId="39714265">
            <w:pPr>
              <w:widowControl/>
              <w:spacing w:line="360" w:lineRule="auto"/>
              <w:jc w:val="center"/>
              <w:rPr>
                <w:rFonts w:ascii="宋体" w:hAnsi="宋体"/>
                <w:sz w:val="24"/>
              </w:rPr>
            </w:pPr>
            <w:r>
              <w:rPr>
                <w:rFonts w:hint="eastAsia" w:ascii="宋体" w:hAnsi="宋体"/>
                <w:sz w:val="24"/>
              </w:rPr>
              <w:t>评审依据：响应文件中提供实施方案。</w:t>
            </w:r>
          </w:p>
        </w:tc>
      </w:tr>
      <w:tr w14:paraId="4BE1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5FBC20D5">
            <w:pPr>
              <w:spacing w:line="360" w:lineRule="auto"/>
              <w:jc w:val="center"/>
              <w:rPr>
                <w:rFonts w:ascii="宋体" w:hAnsi="宋体"/>
                <w:sz w:val="24"/>
              </w:rPr>
            </w:pPr>
          </w:p>
        </w:tc>
        <w:tc>
          <w:tcPr>
            <w:tcW w:w="1217" w:type="dxa"/>
            <w:vAlign w:val="center"/>
          </w:tcPr>
          <w:p w14:paraId="608025DE">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57BD00C3">
            <w:pPr>
              <w:widowControl/>
              <w:spacing w:line="360" w:lineRule="auto"/>
              <w:jc w:val="center"/>
              <w:rPr>
                <w:rFonts w:ascii="宋体" w:hAnsi="宋体"/>
                <w:sz w:val="24"/>
              </w:rPr>
            </w:pPr>
            <w:r>
              <w:rPr>
                <w:rFonts w:hint="eastAsia" w:ascii="宋体" w:hAnsi="宋体" w:cs="宋体"/>
                <w:kern w:val="0"/>
                <w:sz w:val="24"/>
              </w:rPr>
              <w:t>国产办公软件场地授权服务</w:t>
            </w:r>
          </w:p>
        </w:tc>
        <w:tc>
          <w:tcPr>
            <w:tcW w:w="3872" w:type="dxa"/>
            <w:vAlign w:val="center"/>
          </w:tcPr>
          <w:p w14:paraId="7950080D">
            <w:pPr>
              <w:pStyle w:val="25"/>
              <w:widowControl w:val="0"/>
              <w:numPr>
                <w:ilvl w:val="0"/>
                <w:numId w:val="1"/>
              </w:numPr>
              <w:spacing w:before="60" w:after="60"/>
              <w:ind w:firstLineChars="0"/>
              <w:rPr>
                <w:lang w:bidi="ar"/>
              </w:rPr>
            </w:pPr>
            <w:r>
              <w:rPr>
                <w:rFonts w:hint="eastAsia"/>
                <w:lang w:bidi="ar"/>
              </w:rPr>
              <w:t>教师办公权益服务</w:t>
            </w:r>
          </w:p>
          <w:p w14:paraId="4AA9CC7F">
            <w:pPr>
              <w:pStyle w:val="25"/>
              <w:widowControl w:val="0"/>
              <w:spacing w:before="60" w:after="60"/>
              <w:ind w:firstLine="0" w:firstLineChars="0"/>
              <w:rPr>
                <w:rFonts w:eastAsia="宋体"/>
              </w:rPr>
            </w:pPr>
            <w:r>
              <w:rPr>
                <w:rFonts w:hint="eastAsia" w:eastAsia="宋体"/>
              </w:rPr>
              <w:t>1.授权方式：用户订阅许可</w:t>
            </w:r>
          </w:p>
          <w:p w14:paraId="55FEF462">
            <w:pPr>
              <w:pStyle w:val="25"/>
              <w:widowControl w:val="0"/>
              <w:spacing w:before="60" w:after="60"/>
              <w:ind w:firstLine="0" w:firstLineChars="0"/>
              <w:rPr>
                <w:rFonts w:eastAsia="宋体"/>
              </w:rPr>
            </w:pPr>
            <w:r>
              <w:rPr>
                <w:rFonts w:hint="eastAsia" w:eastAsia="宋体"/>
              </w:rPr>
              <w:t>2.授权时间：一年，</w:t>
            </w:r>
          </w:p>
          <w:p w14:paraId="1B2BACB1">
            <w:pPr>
              <w:pStyle w:val="25"/>
              <w:widowControl w:val="0"/>
              <w:spacing w:before="60" w:after="60"/>
              <w:ind w:firstLine="0" w:firstLineChars="0"/>
              <w:rPr>
                <w:rFonts w:eastAsia="宋体"/>
              </w:rPr>
            </w:pPr>
            <w:r>
              <w:rPr>
                <w:rFonts w:hint="eastAsia" w:eastAsia="宋体"/>
              </w:rPr>
              <w:t>3.合约有效期内，软件如有升级版本，授权对升级版本同样有效</w:t>
            </w:r>
          </w:p>
          <w:p w14:paraId="666878CD">
            <w:pPr>
              <w:pStyle w:val="25"/>
              <w:widowControl w:val="0"/>
              <w:spacing w:before="60" w:after="60"/>
              <w:ind w:firstLine="0" w:firstLineChars="0"/>
              <w:rPr>
                <w:rFonts w:eastAsia="宋体"/>
              </w:rPr>
            </w:pPr>
            <w:r>
              <w:rPr>
                <w:rFonts w:hint="eastAsia" w:eastAsia="宋体"/>
              </w:rPr>
              <w:t>4.授权数量：4999</w:t>
            </w:r>
          </w:p>
          <w:p w14:paraId="10EEB6AD">
            <w:pPr>
              <w:spacing w:before="60" w:after="60"/>
              <w:jc w:val="left"/>
              <w:rPr>
                <w:rFonts w:ascii="宋体" w:hAnsi="宋体" w:eastAsia="宋体" w:cs="宋体"/>
                <w:sz w:val="24"/>
              </w:rPr>
            </w:pPr>
            <w:r>
              <w:rPr>
                <w:rFonts w:hint="eastAsia" w:ascii="宋体" w:hAnsi="宋体" w:eastAsia="宋体" w:cs="宋体"/>
                <w:sz w:val="24"/>
              </w:rPr>
              <w:t>（一）云端存储指标</w:t>
            </w:r>
          </w:p>
          <w:p w14:paraId="6D8CA6DE">
            <w:pPr>
              <w:spacing w:before="60" w:after="60"/>
              <w:jc w:val="left"/>
              <w:rPr>
                <w:rFonts w:ascii="宋体" w:hAnsi="宋体" w:eastAsia="宋体" w:cs="宋体"/>
                <w:sz w:val="24"/>
              </w:rPr>
            </w:pPr>
            <w:r>
              <w:rPr>
                <w:rFonts w:hint="eastAsia" w:ascii="宋体" w:hAnsi="宋体" w:eastAsia="宋体" w:cs="宋体"/>
                <w:sz w:val="24"/>
              </w:rPr>
              <w:t>1.所投服务需提供教师账号不少于4999个。</w:t>
            </w:r>
          </w:p>
          <w:p w14:paraId="04833C5E">
            <w:pPr>
              <w:spacing w:before="60" w:after="60"/>
              <w:jc w:val="left"/>
              <w:rPr>
                <w:rFonts w:ascii="宋体" w:hAnsi="宋体" w:eastAsia="宋体" w:cs="宋体"/>
                <w:sz w:val="24"/>
              </w:rPr>
            </w:pPr>
            <w:r>
              <w:rPr>
                <w:rFonts w:hint="eastAsia" w:ascii="宋体" w:hAnsi="宋体" w:eastAsia="宋体" w:cs="宋体"/>
                <w:sz w:val="24"/>
              </w:rPr>
              <w:t>2.支持提供公网云存储，可通过账号登录；支持外链分享、支持文档漫游，支持历史版本、全文检索等功能；支持文档实时跟踪与备份恢复；支持提供后台管理功能，文档统一把控。</w:t>
            </w:r>
          </w:p>
          <w:p w14:paraId="051980A4">
            <w:pPr>
              <w:spacing w:before="60" w:after="60"/>
              <w:jc w:val="left"/>
              <w:rPr>
                <w:rFonts w:ascii="宋体" w:hAnsi="宋体" w:eastAsia="宋体" w:cs="宋体"/>
                <w:sz w:val="24"/>
              </w:rPr>
            </w:pPr>
            <w:r>
              <w:rPr>
                <w:rFonts w:hint="eastAsia" w:ascii="宋体" w:hAnsi="宋体" w:eastAsia="宋体" w:cs="宋体"/>
                <w:sz w:val="24"/>
              </w:rPr>
              <w:t>3.支持在线文档应用：在内容创建过程中，支持@引用云文档、联系人、时间等信息，支持插入表格、电子表格、思维导图、流程图、分割线、超链接等素材，支持引入地图、视频、音乐平台链接地址，以富文本形式显示</w:t>
            </w:r>
          </w:p>
          <w:p w14:paraId="7E1362C7">
            <w:pPr>
              <w:spacing w:before="60" w:after="60"/>
              <w:jc w:val="left"/>
              <w:rPr>
                <w:rFonts w:ascii="宋体" w:hAnsi="宋体" w:eastAsia="宋体" w:cs="宋体"/>
                <w:sz w:val="24"/>
              </w:rPr>
            </w:pPr>
            <w:r>
              <w:rPr>
                <w:rFonts w:hint="eastAsia" w:ascii="宋体" w:hAnsi="宋体" w:eastAsia="宋体" w:cs="宋体"/>
                <w:sz w:val="24"/>
              </w:rPr>
              <w:t>（二）功能应用指标</w:t>
            </w:r>
          </w:p>
          <w:p w14:paraId="2AC484EC">
            <w:pPr>
              <w:spacing w:before="60" w:after="60"/>
              <w:jc w:val="left"/>
              <w:rPr>
                <w:rFonts w:ascii="宋体" w:hAnsi="宋体" w:eastAsia="宋体" w:cs="宋体"/>
                <w:sz w:val="24"/>
              </w:rPr>
            </w:pPr>
            <w:r>
              <w:rPr>
                <w:rFonts w:hint="eastAsia" w:ascii="宋体" w:hAnsi="宋体" w:eastAsia="宋体" w:cs="宋体"/>
                <w:sz w:val="24"/>
              </w:rPr>
              <w:t>1.支持PDF编辑、压缩、拆分、合并、水印的能力。</w:t>
            </w:r>
          </w:p>
          <w:p w14:paraId="46A4EABA">
            <w:pPr>
              <w:spacing w:before="60" w:after="60"/>
              <w:jc w:val="left"/>
              <w:rPr>
                <w:rFonts w:ascii="宋体" w:hAnsi="宋体" w:eastAsia="宋体" w:cs="宋体"/>
                <w:sz w:val="24"/>
              </w:rPr>
            </w:pPr>
            <w:r>
              <w:rPr>
                <w:rFonts w:hint="eastAsia" w:ascii="宋体" w:hAnsi="宋体" w:eastAsia="宋体" w:cs="宋体"/>
                <w:sz w:val="24"/>
              </w:rPr>
              <w:t>2.支持表格的智能排版、高级筛选、数据对比的能力。</w:t>
            </w:r>
          </w:p>
          <w:p w14:paraId="74B28A27">
            <w:pPr>
              <w:spacing w:before="60" w:after="60"/>
              <w:jc w:val="left"/>
              <w:rPr>
                <w:rFonts w:ascii="宋体" w:hAnsi="宋体" w:eastAsia="宋体" w:cs="宋体"/>
                <w:sz w:val="24"/>
              </w:rPr>
            </w:pPr>
            <w:r>
              <w:rPr>
                <w:rFonts w:hint="eastAsia" w:ascii="宋体" w:hAnsi="宋体" w:eastAsia="宋体" w:cs="宋体"/>
                <w:sz w:val="24"/>
              </w:rPr>
              <w:t>3.支持图片转txt、图片转表格、图片转文字的能力。</w:t>
            </w:r>
          </w:p>
          <w:p w14:paraId="4AC01D45">
            <w:pPr>
              <w:spacing w:before="60" w:after="60"/>
              <w:jc w:val="left"/>
              <w:rPr>
                <w:rFonts w:ascii="宋体" w:hAnsi="宋体" w:eastAsia="宋体" w:cs="宋体"/>
                <w:sz w:val="24"/>
              </w:rPr>
            </w:pPr>
            <w:r>
              <w:rPr>
                <w:rFonts w:hint="eastAsia" w:ascii="宋体" w:hAnsi="宋体" w:eastAsia="宋体" w:cs="宋体"/>
                <w:sz w:val="24"/>
              </w:rPr>
              <w:t>4.提供可以共享协作的日历服务，可以将日历分享给其他人，其他人可以根据分享者配置的编辑、查看、仅查看忙闲权限，对于分享者的日历进行管理和查看。日程可以分享到聊天，选择参与人。</w:t>
            </w:r>
          </w:p>
          <w:p w14:paraId="6D6E5FCD">
            <w:pPr>
              <w:spacing w:before="60" w:after="60"/>
              <w:jc w:val="left"/>
              <w:rPr>
                <w:rFonts w:ascii="宋体" w:hAnsi="宋体" w:eastAsia="宋体" w:cs="宋体"/>
                <w:sz w:val="24"/>
              </w:rPr>
            </w:pPr>
            <w:r>
              <w:rPr>
                <w:rFonts w:hint="eastAsia" w:ascii="宋体" w:hAnsi="宋体" w:eastAsia="宋体" w:cs="宋体"/>
                <w:sz w:val="24"/>
              </w:rPr>
              <w:t>（三）后台管理指标</w:t>
            </w:r>
          </w:p>
          <w:p w14:paraId="3EC9CFC4">
            <w:pPr>
              <w:spacing w:before="60" w:after="60"/>
              <w:jc w:val="left"/>
              <w:rPr>
                <w:rFonts w:ascii="宋体" w:hAnsi="宋体" w:eastAsia="宋体" w:cs="宋体"/>
                <w:sz w:val="24"/>
              </w:rPr>
            </w:pPr>
            <w:r>
              <w:rPr>
                <w:rFonts w:hint="eastAsia" w:ascii="宋体" w:hAnsi="宋体" w:eastAsia="宋体" w:cs="宋体"/>
                <w:sz w:val="24"/>
              </w:rPr>
              <w:t>1.提供文档安全管控能力，支持团队文档水印、团队文档分享范围管控、文档流转安全管控（禁止分享到学校/团队外）的能力；</w:t>
            </w:r>
          </w:p>
          <w:p w14:paraId="6E37744C">
            <w:pPr>
              <w:spacing w:before="60" w:after="60"/>
              <w:jc w:val="left"/>
            </w:pPr>
            <w:r>
              <w:rPr>
                <w:rFonts w:hint="eastAsia" w:ascii="宋体" w:hAnsi="宋体" w:eastAsia="宋体" w:cs="宋体"/>
                <w:sz w:val="24"/>
              </w:rPr>
              <w:t>2.支持通讯录可见性自定义设置，有效保障组织架构信息不被任意查看。支持IP访问限制，可实现内网禁止个人账号登录，外网访问企业文档受权限限制，形成数据安全屏障。</w:t>
            </w:r>
          </w:p>
        </w:tc>
        <w:tc>
          <w:tcPr>
            <w:tcW w:w="1202" w:type="dxa"/>
            <w:vAlign w:val="center"/>
          </w:tcPr>
          <w:p w14:paraId="0A1A80B1">
            <w:pPr>
              <w:widowControl/>
              <w:spacing w:line="360" w:lineRule="auto"/>
              <w:jc w:val="center"/>
              <w:rPr>
                <w:rFonts w:ascii="宋体" w:hAnsi="宋体"/>
                <w:sz w:val="24"/>
              </w:rPr>
            </w:pPr>
          </w:p>
        </w:tc>
      </w:tr>
      <w:tr w14:paraId="7F65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42313881">
            <w:pPr>
              <w:spacing w:line="360" w:lineRule="auto"/>
              <w:jc w:val="center"/>
              <w:rPr>
                <w:rFonts w:ascii="宋体" w:hAnsi="宋体"/>
                <w:sz w:val="24"/>
              </w:rPr>
            </w:pPr>
          </w:p>
        </w:tc>
        <w:tc>
          <w:tcPr>
            <w:tcW w:w="1217" w:type="dxa"/>
            <w:vAlign w:val="center"/>
          </w:tcPr>
          <w:p w14:paraId="143DAEB4">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1CE7801F">
            <w:pPr>
              <w:widowControl/>
              <w:spacing w:line="360" w:lineRule="auto"/>
              <w:jc w:val="center"/>
              <w:rPr>
                <w:rFonts w:ascii="宋体" w:hAnsi="宋体"/>
                <w:sz w:val="24"/>
              </w:rPr>
            </w:pPr>
            <w:r>
              <w:rPr>
                <w:rFonts w:hint="eastAsia" w:ascii="宋体" w:hAnsi="宋体" w:cs="宋体"/>
                <w:kern w:val="0"/>
                <w:sz w:val="24"/>
              </w:rPr>
              <w:t>国产办公软件场地授权服务</w:t>
            </w:r>
          </w:p>
        </w:tc>
        <w:tc>
          <w:tcPr>
            <w:tcW w:w="3872" w:type="dxa"/>
            <w:vAlign w:val="center"/>
          </w:tcPr>
          <w:p w14:paraId="25C04A30">
            <w:pPr>
              <w:spacing w:before="60" w:after="60"/>
              <w:jc w:val="left"/>
              <w:rPr>
                <w:rFonts w:ascii="宋体" w:hAnsi="宋体" w:cs="宋体"/>
                <w:kern w:val="0"/>
                <w:sz w:val="24"/>
                <w:lang w:bidi="ar"/>
              </w:rPr>
            </w:pPr>
            <w:r>
              <w:rPr>
                <w:rFonts w:hint="eastAsia" w:ascii="宋体" w:hAnsi="宋体" w:cs="宋体"/>
                <w:kern w:val="0"/>
                <w:sz w:val="24"/>
                <w:lang w:bidi="ar"/>
              </w:rPr>
              <w:t>二、正版化Office客户端</w:t>
            </w:r>
          </w:p>
          <w:p w14:paraId="3819E6F3">
            <w:pPr>
              <w:spacing w:before="60" w:after="60"/>
              <w:jc w:val="left"/>
              <w:rPr>
                <w:rFonts w:ascii="黑体" w:hAnsi="黑体" w:eastAsia="黑体"/>
                <w:sz w:val="24"/>
              </w:rPr>
            </w:pPr>
            <w:r>
              <w:rPr>
                <w:rFonts w:hint="eastAsia" w:ascii="黑体" w:hAnsi="黑体" w:eastAsia="黑体"/>
                <w:sz w:val="24"/>
              </w:rPr>
              <w:t>1.授权方式：场地授权</w:t>
            </w:r>
          </w:p>
          <w:p w14:paraId="6EA2B158">
            <w:pPr>
              <w:pStyle w:val="25"/>
              <w:widowControl w:val="0"/>
              <w:numPr>
                <w:ilvl w:val="0"/>
                <w:numId w:val="2"/>
              </w:numPr>
              <w:spacing w:before="60" w:after="60"/>
              <w:ind w:firstLineChars="0"/>
              <w:rPr>
                <w:rFonts w:ascii="黑体" w:hAnsi="黑体" w:eastAsia="黑体"/>
              </w:rPr>
            </w:pPr>
            <w:r>
              <w:rPr>
                <w:rFonts w:hint="eastAsia" w:ascii="黑体" w:hAnsi="黑体" w:eastAsia="黑体"/>
              </w:rPr>
              <w:t>授权时间：一年，</w:t>
            </w:r>
          </w:p>
          <w:p w14:paraId="00323CE6">
            <w:pPr>
              <w:spacing w:before="60" w:after="60"/>
              <w:jc w:val="left"/>
              <w:rPr>
                <w:rFonts w:ascii="黑体" w:hAnsi="黑体" w:eastAsia="黑体"/>
                <w:sz w:val="24"/>
              </w:rPr>
            </w:pPr>
            <w:r>
              <w:rPr>
                <w:rFonts w:hint="eastAsia" w:ascii="黑体" w:hAnsi="黑体" w:eastAsia="黑体"/>
                <w:sz w:val="24"/>
              </w:rPr>
              <w:t>3.合约有效期内，软件如有升级版本，授权对升级版本同样有效</w:t>
            </w:r>
          </w:p>
          <w:p w14:paraId="2EFF1FA5">
            <w:pPr>
              <w:spacing w:before="60" w:after="60"/>
              <w:jc w:val="left"/>
              <w:rPr>
                <w:rFonts w:ascii="黑体" w:hAnsi="黑体" w:eastAsia="黑体"/>
                <w:sz w:val="24"/>
              </w:rPr>
            </w:pPr>
            <w:r>
              <w:rPr>
                <w:rFonts w:hint="eastAsia" w:ascii="黑体" w:hAnsi="黑体" w:eastAsia="黑体"/>
                <w:sz w:val="24"/>
              </w:rPr>
              <w:t>4.授权数量：所有机房电脑终端。</w:t>
            </w:r>
          </w:p>
          <w:p w14:paraId="35B4C867">
            <w:pPr>
              <w:spacing w:before="60" w:after="60"/>
              <w:jc w:val="left"/>
              <w:rPr>
                <w:rFonts w:ascii="宋体" w:hAnsi="宋体" w:cs="宋体"/>
                <w:kern w:val="0"/>
                <w:sz w:val="24"/>
                <w:lang w:bidi="ar"/>
              </w:rPr>
            </w:pPr>
            <w:r>
              <w:rPr>
                <w:rFonts w:hint="eastAsia" w:ascii="宋体" w:hAnsi="宋体" w:cs="宋体"/>
                <w:kern w:val="0"/>
                <w:sz w:val="24"/>
                <w:lang w:bidi="ar"/>
              </w:rPr>
              <w:t>（一）整体基础性能</w:t>
            </w:r>
          </w:p>
          <w:p w14:paraId="44115D52">
            <w:pPr>
              <w:spacing w:before="60" w:after="60"/>
              <w:jc w:val="left"/>
              <w:rPr>
                <w:rFonts w:ascii="宋体" w:hAnsi="宋体" w:cs="宋体"/>
                <w:kern w:val="0"/>
                <w:sz w:val="24"/>
                <w:lang w:bidi="ar"/>
              </w:rPr>
            </w:pPr>
            <w:r>
              <w:rPr>
                <w:rFonts w:hint="eastAsia" w:ascii="宋体" w:hAnsi="宋体" w:cs="宋体"/>
                <w:kern w:val="0"/>
                <w:sz w:val="24"/>
                <w:lang w:bidi="ar"/>
              </w:rPr>
              <w:t>1. 所投服务需提供场地化授权</w:t>
            </w:r>
          </w:p>
          <w:p w14:paraId="7AC1AF98">
            <w:pPr>
              <w:spacing w:before="60" w:after="60"/>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kern w:val="0"/>
                <w:sz w:val="24"/>
                <w:lang w:bidi="ar"/>
              </w:rPr>
              <w:tab/>
            </w:r>
            <w:r>
              <w:rPr>
                <w:rFonts w:hint="eastAsia" w:ascii="宋体" w:hAnsi="宋体" w:cs="宋体"/>
                <w:kern w:val="0"/>
                <w:sz w:val="24"/>
                <w:lang w:bidi="ar"/>
              </w:rPr>
              <w:t>投标产品提供运行在Windows操作系统上运行的office办公软件产品，包含文字处理、表格计算、幻灯片演示三个模块。</w:t>
            </w:r>
          </w:p>
          <w:p w14:paraId="4BD7502F">
            <w:pPr>
              <w:spacing w:before="60" w:after="6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bidi="ar"/>
              </w:rPr>
              <w:tab/>
            </w:r>
            <w:r>
              <w:rPr>
                <w:rFonts w:hint="eastAsia" w:ascii="宋体" w:hAnsi="宋体" w:cs="宋体"/>
                <w:kern w:val="0"/>
                <w:sz w:val="24"/>
                <w:lang w:bidi="ar"/>
              </w:rPr>
              <w:t>投标产品支持窗口多组件/整合模式，支持进行单窗口多标签的拆分与组合，在多窗口模式下支持在系统任务栏显示多主窗口。</w:t>
            </w:r>
          </w:p>
          <w:p w14:paraId="67FC6D4A">
            <w:pPr>
              <w:spacing w:before="60" w:after="60"/>
              <w:jc w:val="left"/>
              <w:rPr>
                <w:rFonts w:ascii="宋体" w:hAnsi="宋体" w:cs="宋体"/>
                <w:kern w:val="0"/>
                <w:sz w:val="24"/>
                <w:lang w:bidi="ar"/>
              </w:rPr>
            </w:pPr>
            <w:r>
              <w:rPr>
                <w:rFonts w:hint="eastAsia" w:ascii="宋体" w:hAnsi="宋体" w:cs="宋体"/>
                <w:kern w:val="0"/>
                <w:sz w:val="24"/>
                <w:lang w:bidi="ar"/>
              </w:rPr>
              <w:t>3.</w:t>
            </w:r>
            <w:r>
              <w:rPr>
                <w:rFonts w:hint="eastAsia" w:ascii="宋体" w:hAnsi="宋体" w:cs="宋体"/>
                <w:kern w:val="0"/>
                <w:sz w:val="24"/>
                <w:lang w:bidi="ar"/>
              </w:rPr>
              <w:tab/>
            </w:r>
            <w:r>
              <w:rPr>
                <w:rFonts w:hint="eastAsia" w:ascii="宋体" w:hAnsi="宋体" w:cs="宋体"/>
                <w:kern w:val="0"/>
                <w:sz w:val="24"/>
                <w:lang w:bidi="ar"/>
              </w:rPr>
              <w:t>投标产品支持PDF类型文件阅读，办公人员能够在办公软件中打开PDF文件。</w:t>
            </w:r>
          </w:p>
          <w:p w14:paraId="0D0379F7">
            <w:pPr>
              <w:spacing w:before="60" w:after="60"/>
              <w:jc w:val="left"/>
              <w:rPr>
                <w:rFonts w:ascii="宋体" w:hAnsi="宋体" w:cs="宋体"/>
                <w:kern w:val="0"/>
                <w:sz w:val="24"/>
                <w:lang w:bidi="ar"/>
              </w:rPr>
            </w:pPr>
            <w:r>
              <w:rPr>
                <w:rFonts w:hint="eastAsia" w:ascii="宋体" w:hAnsi="宋体" w:cs="宋体"/>
                <w:kern w:val="0"/>
                <w:sz w:val="24"/>
                <w:lang w:bidi="ar"/>
              </w:rPr>
              <w:t>4.</w:t>
            </w:r>
            <w:r>
              <w:rPr>
                <w:rFonts w:hint="eastAsia" w:ascii="宋体" w:hAnsi="宋体" w:cs="宋体"/>
                <w:kern w:val="0"/>
                <w:sz w:val="24"/>
                <w:lang w:bidi="ar"/>
              </w:rPr>
              <w:tab/>
            </w:r>
            <w:r>
              <w:rPr>
                <w:rFonts w:hint="eastAsia" w:ascii="宋体" w:hAnsi="宋体" w:cs="宋体"/>
                <w:kern w:val="0"/>
                <w:sz w:val="24"/>
                <w:lang w:bidi="ar"/>
              </w:rPr>
              <w:t>文件格式要求：所投办公软件能生成.wps/.et/.dps等文件格式。双向兼容：各功能模块与微软 Office的Word、Excel、Powerpoint 三个功能模块相互兼容，支持格式包括且不限于 doc、docx、xls、xlsx、ppt、pptx、pdf、txt、xml；同时产品自有文件格式也能被微软Office各对应模块打开。</w:t>
            </w:r>
          </w:p>
          <w:p w14:paraId="35385B8D">
            <w:pPr>
              <w:spacing w:before="60" w:after="60"/>
              <w:jc w:val="left"/>
              <w:rPr>
                <w:rFonts w:ascii="宋体" w:hAnsi="宋体" w:cs="宋体"/>
                <w:kern w:val="0"/>
                <w:sz w:val="24"/>
                <w:lang w:bidi="ar"/>
              </w:rPr>
            </w:pPr>
            <w:r>
              <w:rPr>
                <w:rFonts w:hint="eastAsia" w:ascii="宋体" w:hAnsi="宋体" w:cs="宋体"/>
                <w:kern w:val="0"/>
                <w:sz w:val="24"/>
                <w:lang w:bidi="ar"/>
              </w:rPr>
              <w:t>（二）文字模块指标</w:t>
            </w:r>
          </w:p>
          <w:p w14:paraId="65579FD4">
            <w:pPr>
              <w:spacing w:before="60" w:after="60"/>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kern w:val="0"/>
                <w:sz w:val="24"/>
                <w:lang w:bidi="ar"/>
              </w:rPr>
              <w:tab/>
            </w:r>
            <w:r>
              <w:rPr>
                <w:rFonts w:hint="eastAsia" w:ascii="宋体" w:hAnsi="宋体" w:cs="宋体"/>
                <w:kern w:val="0"/>
                <w:sz w:val="24"/>
                <w:lang w:bidi="ar"/>
              </w:rPr>
              <w:t>文字模块支持截图取字功能，对截图和已有图片进行内容识别。</w:t>
            </w:r>
          </w:p>
          <w:p w14:paraId="4706450E">
            <w:pPr>
              <w:spacing w:before="60" w:after="6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bidi="ar"/>
              </w:rPr>
              <w:tab/>
            </w:r>
            <w:r>
              <w:rPr>
                <w:rFonts w:hint="eastAsia" w:ascii="宋体" w:hAnsi="宋体" w:cs="宋体"/>
                <w:kern w:val="0"/>
                <w:sz w:val="24"/>
                <w:lang w:bidi="ar"/>
              </w:rPr>
              <w:t>文字模块阅读版式，文字模块支持阅读版式的全屏窗口显示，更方便和清晰浏览大篇幅文章的内容。</w:t>
            </w:r>
          </w:p>
          <w:p w14:paraId="4FDA5ACE">
            <w:pPr>
              <w:spacing w:before="60" w:after="60"/>
              <w:jc w:val="left"/>
              <w:rPr>
                <w:rFonts w:ascii="宋体" w:hAnsi="宋体" w:cs="宋体"/>
                <w:kern w:val="0"/>
                <w:sz w:val="24"/>
                <w:lang w:bidi="ar"/>
              </w:rPr>
            </w:pPr>
            <w:r>
              <w:rPr>
                <w:rFonts w:hint="eastAsia" w:ascii="宋体" w:hAnsi="宋体" w:cs="宋体"/>
                <w:kern w:val="0"/>
                <w:sz w:val="24"/>
                <w:lang w:bidi="ar"/>
              </w:rPr>
              <w:t>3.</w:t>
            </w:r>
            <w:r>
              <w:rPr>
                <w:rFonts w:hint="eastAsia" w:ascii="宋体" w:hAnsi="宋体" w:cs="宋体"/>
                <w:kern w:val="0"/>
                <w:sz w:val="24"/>
                <w:lang w:bidi="ar"/>
              </w:rPr>
              <w:tab/>
            </w:r>
            <w:r>
              <w:rPr>
                <w:rFonts w:hint="eastAsia" w:ascii="宋体" w:hAnsi="宋体" w:cs="宋体"/>
                <w:kern w:val="0"/>
                <w:sz w:val="24"/>
                <w:lang w:bidi="ar"/>
              </w:rPr>
              <w:t>文字模块提供段落布局工具，通过拖动方式直观调整悬挂缩进、段落间距等格式。</w:t>
            </w:r>
          </w:p>
          <w:p w14:paraId="332BCB17">
            <w:pPr>
              <w:spacing w:before="60" w:after="60"/>
              <w:jc w:val="left"/>
              <w:rPr>
                <w:rFonts w:ascii="宋体" w:hAnsi="宋体" w:cs="宋体"/>
                <w:kern w:val="0"/>
                <w:sz w:val="24"/>
                <w:lang w:bidi="ar"/>
              </w:rPr>
            </w:pPr>
            <w:r>
              <w:rPr>
                <w:rFonts w:hint="eastAsia" w:ascii="宋体" w:hAnsi="宋体" w:cs="宋体"/>
                <w:kern w:val="0"/>
                <w:sz w:val="24"/>
                <w:lang w:bidi="ar"/>
              </w:rPr>
              <w:t>（三）表格模块指标</w:t>
            </w:r>
          </w:p>
          <w:p w14:paraId="482F00BA">
            <w:pPr>
              <w:spacing w:before="60" w:after="60"/>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kern w:val="0"/>
                <w:sz w:val="24"/>
                <w:lang w:bidi="ar"/>
              </w:rPr>
              <w:tab/>
            </w:r>
            <w:r>
              <w:rPr>
                <w:rFonts w:hint="eastAsia" w:ascii="宋体" w:hAnsi="宋体" w:cs="宋体"/>
                <w:kern w:val="0"/>
                <w:sz w:val="24"/>
                <w:lang w:bidi="ar"/>
              </w:rPr>
              <w:t>表格模块支持在表格中一键插入求和、计数、平均值等常用公式。</w:t>
            </w:r>
          </w:p>
          <w:p w14:paraId="65A13F10">
            <w:pPr>
              <w:spacing w:before="60" w:after="6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bidi="ar"/>
              </w:rPr>
              <w:tab/>
            </w:r>
            <w:r>
              <w:rPr>
                <w:rFonts w:hint="eastAsia" w:ascii="宋体" w:hAnsi="宋体" w:cs="宋体"/>
                <w:kern w:val="0"/>
                <w:sz w:val="24"/>
                <w:lang w:bidi="ar"/>
              </w:rPr>
              <w:t>表格模块支持右键插入行数的手动输入，便于一次性插入多行。</w:t>
            </w:r>
          </w:p>
          <w:p w14:paraId="55ECBD53">
            <w:pPr>
              <w:spacing w:before="60" w:after="60"/>
              <w:jc w:val="left"/>
              <w:rPr>
                <w:rFonts w:ascii="宋体" w:hAnsi="宋体" w:cs="宋体"/>
                <w:kern w:val="0"/>
                <w:sz w:val="24"/>
                <w:lang w:bidi="ar"/>
              </w:rPr>
            </w:pPr>
            <w:r>
              <w:rPr>
                <w:rFonts w:hint="eastAsia" w:ascii="宋体" w:hAnsi="宋体" w:cs="宋体"/>
                <w:kern w:val="0"/>
                <w:sz w:val="24"/>
                <w:lang w:bidi="ar"/>
              </w:rPr>
              <w:t>3.</w:t>
            </w:r>
            <w:r>
              <w:rPr>
                <w:rFonts w:hint="eastAsia" w:ascii="宋体" w:hAnsi="宋体" w:cs="宋体"/>
                <w:kern w:val="0"/>
                <w:sz w:val="24"/>
                <w:lang w:bidi="ar"/>
              </w:rPr>
              <w:tab/>
            </w:r>
            <w:r>
              <w:rPr>
                <w:rFonts w:hint="eastAsia" w:ascii="宋体" w:hAnsi="宋体" w:cs="宋体"/>
                <w:kern w:val="0"/>
                <w:sz w:val="24"/>
                <w:lang w:bidi="ar"/>
              </w:rPr>
              <w:t>表格模块提供照相机功能，将单元格或单元格区域链接到图片对象，并直观的显示两个对象间的动态变化。</w:t>
            </w:r>
          </w:p>
          <w:p w14:paraId="6FFF621C">
            <w:pPr>
              <w:spacing w:before="60" w:after="60"/>
              <w:jc w:val="left"/>
              <w:rPr>
                <w:rFonts w:ascii="宋体" w:hAnsi="宋体" w:cs="宋体"/>
                <w:kern w:val="0"/>
                <w:sz w:val="24"/>
                <w:lang w:bidi="ar"/>
              </w:rPr>
            </w:pPr>
            <w:r>
              <w:rPr>
                <w:rFonts w:hint="eastAsia" w:ascii="宋体" w:hAnsi="宋体" w:cs="宋体"/>
                <w:kern w:val="0"/>
                <w:sz w:val="24"/>
                <w:lang w:bidi="ar"/>
              </w:rPr>
              <w:t>4.</w:t>
            </w:r>
            <w:r>
              <w:rPr>
                <w:rFonts w:hint="eastAsia" w:ascii="宋体" w:hAnsi="宋体" w:cs="宋体"/>
                <w:kern w:val="0"/>
                <w:sz w:val="24"/>
                <w:lang w:bidi="ar"/>
              </w:rPr>
              <w:tab/>
            </w:r>
            <w:r>
              <w:rPr>
                <w:rFonts w:hint="eastAsia" w:ascii="宋体" w:hAnsi="宋体" w:cs="宋体"/>
                <w:kern w:val="0"/>
                <w:sz w:val="24"/>
                <w:lang w:bidi="ar"/>
              </w:rPr>
              <w:t>表格模块支持筛选计数功能，让用户可以直观的了解当前内容所在列中出现的次数，并支持对计数结果进行导出，提高用户数据分析的便捷性。</w:t>
            </w:r>
          </w:p>
          <w:p w14:paraId="6590A058">
            <w:pPr>
              <w:spacing w:before="60" w:after="60"/>
              <w:jc w:val="left"/>
              <w:rPr>
                <w:rFonts w:ascii="宋体" w:hAnsi="宋体" w:cs="宋体"/>
                <w:kern w:val="0"/>
                <w:sz w:val="24"/>
                <w:lang w:bidi="ar"/>
              </w:rPr>
            </w:pPr>
            <w:r>
              <w:rPr>
                <w:rFonts w:hint="eastAsia" w:ascii="宋体" w:hAnsi="宋体" w:cs="宋体"/>
                <w:kern w:val="0"/>
                <w:sz w:val="24"/>
                <w:lang w:bidi="ar"/>
              </w:rPr>
              <w:t>（四）演示模块指标</w:t>
            </w:r>
          </w:p>
          <w:p w14:paraId="31204607">
            <w:pPr>
              <w:spacing w:before="60" w:after="60"/>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kern w:val="0"/>
                <w:sz w:val="24"/>
                <w:lang w:bidi="ar"/>
              </w:rPr>
              <w:tab/>
            </w:r>
            <w:r>
              <w:rPr>
                <w:rFonts w:hint="eastAsia" w:ascii="宋体" w:hAnsi="宋体" w:cs="宋体"/>
                <w:kern w:val="0"/>
                <w:sz w:val="24"/>
                <w:lang w:bidi="ar"/>
              </w:rPr>
              <w:t>演示模块支持双击幻灯片页启动播放的功能。</w:t>
            </w:r>
          </w:p>
          <w:p w14:paraId="5EDEFDF7">
            <w:pPr>
              <w:spacing w:before="60" w:after="6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bidi="ar"/>
              </w:rPr>
              <w:tab/>
            </w:r>
            <w:r>
              <w:rPr>
                <w:rFonts w:hint="eastAsia" w:ascii="宋体" w:hAnsi="宋体" w:cs="宋体"/>
                <w:kern w:val="0"/>
                <w:sz w:val="24"/>
                <w:lang w:bidi="ar"/>
              </w:rPr>
              <w:t>演示模块支持智能图形（SmartArt），至少满足多种图示类型，如层次结构、列表、循环、流程等图形类型。</w:t>
            </w:r>
          </w:p>
          <w:p w14:paraId="696E4FE5">
            <w:pPr>
              <w:spacing w:before="60" w:after="60"/>
              <w:jc w:val="left"/>
            </w:pPr>
            <w:r>
              <w:rPr>
                <w:rFonts w:hint="eastAsia" w:ascii="宋体" w:hAnsi="宋体" w:cs="宋体"/>
                <w:kern w:val="0"/>
                <w:sz w:val="24"/>
                <w:lang w:bidi="ar"/>
              </w:rPr>
              <w:t>4.</w:t>
            </w:r>
            <w:r>
              <w:rPr>
                <w:rFonts w:hint="eastAsia" w:ascii="宋体" w:hAnsi="宋体" w:cs="宋体"/>
                <w:kern w:val="0"/>
                <w:sz w:val="24"/>
                <w:lang w:bidi="ar"/>
              </w:rPr>
              <w:tab/>
            </w:r>
            <w:r>
              <w:rPr>
                <w:rFonts w:hint="eastAsia" w:ascii="宋体" w:hAnsi="宋体" w:cs="宋体"/>
                <w:kern w:val="0"/>
                <w:sz w:val="24"/>
                <w:lang w:bidi="ar"/>
              </w:rPr>
              <w:t>演示模块支持将文档保存为视频格式和放映中录制视频。</w:t>
            </w:r>
          </w:p>
        </w:tc>
        <w:tc>
          <w:tcPr>
            <w:tcW w:w="1202" w:type="dxa"/>
            <w:vAlign w:val="center"/>
          </w:tcPr>
          <w:p w14:paraId="05327F4A">
            <w:pPr>
              <w:widowControl/>
              <w:spacing w:line="360" w:lineRule="auto"/>
              <w:jc w:val="center"/>
              <w:rPr>
                <w:rFonts w:ascii="宋体" w:hAnsi="宋体"/>
                <w:sz w:val="24"/>
              </w:rPr>
            </w:pPr>
          </w:p>
        </w:tc>
      </w:tr>
      <w:tr w14:paraId="43DB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60840BA0">
            <w:pPr>
              <w:spacing w:line="360" w:lineRule="auto"/>
              <w:jc w:val="center"/>
              <w:rPr>
                <w:rFonts w:ascii="宋体" w:hAnsi="宋体"/>
                <w:sz w:val="24"/>
              </w:rPr>
            </w:pPr>
          </w:p>
        </w:tc>
        <w:tc>
          <w:tcPr>
            <w:tcW w:w="1217" w:type="dxa"/>
            <w:vAlign w:val="center"/>
          </w:tcPr>
          <w:p w14:paraId="4B389C42">
            <w:pPr>
              <w:widowControl/>
              <w:spacing w:line="360" w:lineRule="auto"/>
              <w:jc w:val="center"/>
              <w:rPr>
                <w:rFonts w:ascii="宋体" w:hAnsi="宋体"/>
                <w:sz w:val="24"/>
              </w:rPr>
            </w:pPr>
            <w:r>
              <w:rPr>
                <w:rFonts w:hint="eastAsia" w:ascii="宋体" w:hAnsi="宋体" w:cs="宋体"/>
                <w:b/>
                <w:bCs/>
                <w:snapToGrid w:val="0"/>
                <w:kern w:val="0"/>
                <w:sz w:val="24"/>
                <w:lang w:val="zh-CN"/>
              </w:rPr>
              <w:t>★</w:t>
            </w:r>
          </w:p>
        </w:tc>
        <w:tc>
          <w:tcPr>
            <w:tcW w:w="1418" w:type="dxa"/>
            <w:vAlign w:val="center"/>
          </w:tcPr>
          <w:p w14:paraId="48A1FDBE">
            <w:pPr>
              <w:widowControl/>
              <w:spacing w:line="360" w:lineRule="auto"/>
              <w:jc w:val="center"/>
              <w:rPr>
                <w:rFonts w:ascii="宋体" w:hAnsi="宋体"/>
                <w:sz w:val="24"/>
              </w:rPr>
            </w:pPr>
            <w:r>
              <w:rPr>
                <w:rFonts w:hint="eastAsia" w:ascii="宋体" w:hAnsi="宋体" w:cs="宋体"/>
                <w:kern w:val="0"/>
                <w:sz w:val="24"/>
              </w:rPr>
              <w:t>国产办公软件场地授权服务</w:t>
            </w:r>
          </w:p>
        </w:tc>
        <w:tc>
          <w:tcPr>
            <w:tcW w:w="3872" w:type="dxa"/>
            <w:vAlign w:val="center"/>
          </w:tcPr>
          <w:p w14:paraId="1D7628E4">
            <w:pPr>
              <w:pStyle w:val="25"/>
              <w:widowControl w:val="0"/>
              <w:numPr>
                <w:ilvl w:val="0"/>
                <w:numId w:val="3"/>
              </w:numPr>
              <w:spacing w:before="60" w:after="60"/>
              <w:ind w:firstLineChars="0"/>
              <w:rPr>
                <w:rFonts w:eastAsia="宋体"/>
              </w:rPr>
            </w:pPr>
            <w:r>
              <w:rPr>
                <w:rFonts w:hint="eastAsia" w:eastAsia="宋体"/>
                <w:lang w:bidi="ar"/>
              </w:rPr>
              <w:t>学生办公权益服务</w:t>
            </w:r>
          </w:p>
          <w:p w14:paraId="1246768E">
            <w:pPr>
              <w:spacing w:before="60" w:after="60"/>
              <w:jc w:val="left"/>
              <w:rPr>
                <w:rFonts w:ascii="宋体" w:hAnsi="宋体" w:eastAsia="宋体" w:cs="宋体"/>
                <w:sz w:val="24"/>
              </w:rPr>
            </w:pPr>
            <w:r>
              <w:rPr>
                <w:rFonts w:hint="eastAsia" w:ascii="宋体" w:hAnsi="宋体" w:eastAsia="宋体" w:cs="宋体"/>
                <w:sz w:val="24"/>
              </w:rPr>
              <w:t>1.授权方式：用户订阅许可</w:t>
            </w:r>
          </w:p>
          <w:p w14:paraId="15A67851">
            <w:pPr>
              <w:spacing w:before="60" w:after="60"/>
              <w:jc w:val="left"/>
              <w:rPr>
                <w:rFonts w:ascii="宋体" w:hAnsi="宋体" w:eastAsia="宋体" w:cs="宋体"/>
                <w:sz w:val="24"/>
              </w:rPr>
            </w:pPr>
            <w:r>
              <w:rPr>
                <w:rFonts w:hint="eastAsia" w:ascii="宋体" w:hAnsi="宋体" w:eastAsia="宋体" w:cs="宋体"/>
                <w:sz w:val="24"/>
              </w:rPr>
              <w:t>2.授权时间：一年，</w:t>
            </w:r>
          </w:p>
          <w:p w14:paraId="34674B37">
            <w:pPr>
              <w:spacing w:before="60" w:after="60"/>
              <w:jc w:val="left"/>
              <w:rPr>
                <w:rFonts w:ascii="宋体" w:hAnsi="宋体" w:eastAsia="宋体" w:cs="宋体"/>
                <w:sz w:val="24"/>
              </w:rPr>
            </w:pPr>
            <w:r>
              <w:rPr>
                <w:rFonts w:hint="eastAsia" w:ascii="宋体" w:hAnsi="宋体" w:eastAsia="宋体" w:cs="宋体"/>
                <w:sz w:val="24"/>
              </w:rPr>
              <w:t>3.合约有效期内，软件如有升级版本，授权对升级版本同样有效</w:t>
            </w:r>
          </w:p>
          <w:p w14:paraId="5A757581">
            <w:pPr>
              <w:spacing w:before="60" w:after="60"/>
              <w:jc w:val="left"/>
              <w:rPr>
                <w:rFonts w:ascii="宋体" w:hAnsi="宋体" w:eastAsia="宋体" w:cs="宋体"/>
                <w:sz w:val="24"/>
              </w:rPr>
            </w:pPr>
            <w:r>
              <w:rPr>
                <w:rFonts w:hint="eastAsia" w:ascii="宋体" w:hAnsi="宋体" w:eastAsia="宋体" w:cs="宋体"/>
                <w:sz w:val="24"/>
              </w:rPr>
              <w:t>4.初始授权数量：50000人，授权数激活数超过90%后，可申请增加学生数</w:t>
            </w:r>
          </w:p>
          <w:p w14:paraId="6BF7AE96">
            <w:pPr>
              <w:spacing w:before="60" w:after="60"/>
              <w:jc w:val="left"/>
              <w:rPr>
                <w:rFonts w:ascii="宋体" w:hAnsi="宋体" w:eastAsia="宋体" w:cs="宋体"/>
                <w:sz w:val="24"/>
              </w:rPr>
            </w:pPr>
            <w:r>
              <w:rPr>
                <w:rFonts w:hint="eastAsia" w:ascii="宋体" w:hAnsi="宋体" w:eastAsia="宋体" w:cs="宋体"/>
                <w:sz w:val="24"/>
              </w:rPr>
              <w:t>（一）参数要求</w:t>
            </w:r>
          </w:p>
          <w:p w14:paraId="028C3CE5">
            <w:pPr>
              <w:spacing w:before="60" w:after="60"/>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所投服务需提供全体在校学生账号。</w:t>
            </w:r>
          </w:p>
          <w:p w14:paraId="4A2B64A3">
            <w:pPr>
              <w:spacing w:before="60" w:after="60"/>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支持多人协作编辑的功能，支持多人同时在线对同一文档进行实时编辑，编辑结果实时呈现。</w:t>
            </w:r>
          </w:p>
          <w:p w14:paraId="07C54247">
            <w:pPr>
              <w:spacing w:before="60" w:after="60"/>
              <w:jc w:val="left"/>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支持学生上传文件功能，上传单个文件或文档最大可达2GB。</w:t>
            </w:r>
          </w:p>
          <w:p w14:paraId="231778F5">
            <w:pPr>
              <w:spacing w:before="60" w:after="60"/>
              <w:jc w:val="left"/>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支持对团队文档添加安全水印的功能，如遇到外泄可以进行源头追溯。</w:t>
            </w:r>
          </w:p>
          <w:p w14:paraId="34534897">
            <w:pPr>
              <w:spacing w:before="60" w:after="60"/>
              <w:jc w:val="left"/>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支持组织内团队文件加密保护团队数不少于50个。</w:t>
            </w:r>
          </w:p>
          <w:p w14:paraId="2B3E3B76">
            <w:pPr>
              <w:spacing w:before="60" w:after="60"/>
              <w:jc w:val="left"/>
              <w:rPr>
                <w:rFonts w:ascii="宋体" w:hAnsi="宋体" w:eastAsia="宋体" w:cs="宋体"/>
                <w:sz w:val="24"/>
              </w:rPr>
            </w:pPr>
            <w:r>
              <w:rPr>
                <w:rFonts w:hint="eastAsia" w:ascii="宋体" w:hAnsi="宋体" w:eastAsia="宋体" w:cs="宋体"/>
                <w:sz w:val="24"/>
              </w:rPr>
              <w:t>7.</w:t>
            </w:r>
            <w:r>
              <w:rPr>
                <w:rFonts w:hint="eastAsia" w:ascii="宋体" w:hAnsi="宋体" w:eastAsia="宋体" w:cs="宋体"/>
                <w:sz w:val="24"/>
              </w:rPr>
              <w:tab/>
            </w:r>
            <w:r>
              <w:rPr>
                <w:rFonts w:hint="eastAsia" w:ascii="宋体" w:hAnsi="宋体" w:eastAsia="宋体" w:cs="宋体"/>
                <w:sz w:val="24"/>
              </w:rPr>
              <w:t>支持对团队文档进行流转管控，禁止移动团队组织外。</w:t>
            </w:r>
          </w:p>
          <w:p w14:paraId="5FA7EFAC">
            <w:pPr>
              <w:spacing w:before="60" w:after="60"/>
              <w:jc w:val="left"/>
              <w:rPr>
                <w:rFonts w:ascii="宋体" w:hAnsi="宋体" w:eastAsia="宋体" w:cs="宋体"/>
                <w:sz w:val="24"/>
              </w:rPr>
            </w:pPr>
            <w:r>
              <w:rPr>
                <w:rFonts w:hint="eastAsia" w:ascii="宋体" w:hAnsi="宋体" w:eastAsia="宋体" w:cs="宋体"/>
                <w:sz w:val="24"/>
              </w:rPr>
              <w:t>8.</w:t>
            </w:r>
            <w:r>
              <w:rPr>
                <w:rFonts w:hint="eastAsia" w:ascii="宋体" w:hAnsi="宋体" w:eastAsia="宋体" w:cs="宋体"/>
                <w:sz w:val="24"/>
              </w:rPr>
              <w:tab/>
            </w:r>
            <w:r>
              <w:rPr>
                <w:rFonts w:hint="eastAsia" w:ascii="宋体" w:hAnsi="宋体" w:eastAsia="宋体" w:cs="宋体"/>
                <w:sz w:val="24"/>
              </w:rPr>
              <w:t>支持会议、表单、日历、待办、思维导图、流程图等附加应用。</w:t>
            </w:r>
          </w:p>
          <w:p w14:paraId="0E5BAC60">
            <w:pPr>
              <w:widowControl/>
              <w:spacing w:line="360" w:lineRule="auto"/>
              <w:jc w:val="center"/>
              <w:rPr>
                <w:rFonts w:ascii="宋体" w:hAnsi="宋体" w:eastAsia="宋体" w:cs="宋体"/>
                <w:sz w:val="24"/>
              </w:rPr>
            </w:pPr>
            <w:r>
              <w:rPr>
                <w:rFonts w:hint="eastAsia" w:ascii="宋体" w:hAnsi="宋体" w:eastAsia="宋体" w:cs="宋体"/>
                <w:sz w:val="24"/>
              </w:rPr>
              <w:t>9.</w:t>
            </w:r>
            <w:r>
              <w:rPr>
                <w:rFonts w:hint="eastAsia" w:ascii="宋体" w:hAnsi="宋体" w:eastAsia="宋体" w:cs="宋体"/>
                <w:sz w:val="24"/>
              </w:rPr>
              <w:tab/>
            </w:r>
            <w:r>
              <w:rPr>
                <w:rFonts w:hint="eastAsia" w:ascii="宋体" w:hAnsi="宋体" w:eastAsia="宋体" w:cs="宋体"/>
                <w:sz w:val="24"/>
              </w:rPr>
              <w:t>当组织内有人员调动或者学生毕业，应支持通过管理员在后台对于离开的成员文档进行转让的功能。</w:t>
            </w:r>
          </w:p>
        </w:tc>
        <w:tc>
          <w:tcPr>
            <w:tcW w:w="1202" w:type="dxa"/>
            <w:vAlign w:val="center"/>
          </w:tcPr>
          <w:p w14:paraId="137449F7">
            <w:pPr>
              <w:widowControl/>
              <w:spacing w:line="360" w:lineRule="auto"/>
              <w:jc w:val="center"/>
              <w:rPr>
                <w:rFonts w:ascii="宋体" w:hAnsi="宋体"/>
                <w:sz w:val="24"/>
              </w:rPr>
            </w:pPr>
          </w:p>
        </w:tc>
      </w:tr>
      <w:tr w14:paraId="3B39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340F4676">
            <w:pPr>
              <w:spacing w:line="360" w:lineRule="auto"/>
              <w:jc w:val="center"/>
              <w:rPr>
                <w:rFonts w:ascii="宋体" w:hAnsi="宋体"/>
                <w:sz w:val="24"/>
              </w:rPr>
            </w:pPr>
          </w:p>
        </w:tc>
        <w:tc>
          <w:tcPr>
            <w:tcW w:w="1217" w:type="dxa"/>
            <w:vAlign w:val="center"/>
          </w:tcPr>
          <w:p w14:paraId="4E1C64C8">
            <w:pPr>
              <w:widowControl/>
              <w:spacing w:line="360" w:lineRule="auto"/>
              <w:jc w:val="center"/>
              <w:rPr>
                <w:rFonts w:ascii="宋体" w:hAnsi="宋体"/>
                <w:sz w:val="24"/>
              </w:rPr>
            </w:pPr>
            <w:r>
              <w:rPr>
                <w:rFonts w:hint="eastAsia" w:ascii="宋体" w:hAnsi="宋体"/>
                <w:sz w:val="24"/>
              </w:rPr>
              <w:t>▲</w:t>
            </w:r>
          </w:p>
        </w:tc>
        <w:tc>
          <w:tcPr>
            <w:tcW w:w="1418" w:type="dxa"/>
            <w:vAlign w:val="center"/>
          </w:tcPr>
          <w:p w14:paraId="16ED435F">
            <w:pPr>
              <w:widowControl/>
              <w:spacing w:line="360" w:lineRule="auto"/>
              <w:jc w:val="center"/>
              <w:rPr>
                <w:rFonts w:ascii="宋体" w:hAnsi="宋体"/>
                <w:sz w:val="24"/>
              </w:rPr>
            </w:pPr>
            <w:r>
              <w:rPr>
                <w:rFonts w:hint="eastAsia" w:ascii="宋体" w:hAnsi="宋体" w:cs="宋体"/>
                <w:kern w:val="0"/>
                <w:sz w:val="24"/>
              </w:rPr>
              <w:t>国产办公软件场地授权服务</w:t>
            </w:r>
          </w:p>
        </w:tc>
        <w:tc>
          <w:tcPr>
            <w:tcW w:w="3872" w:type="dxa"/>
            <w:vAlign w:val="center"/>
          </w:tcPr>
          <w:p w14:paraId="05A56AB0">
            <w:pPr>
              <w:pStyle w:val="25"/>
              <w:widowControl w:val="0"/>
              <w:numPr>
                <w:ilvl w:val="0"/>
                <w:numId w:val="4"/>
              </w:numPr>
              <w:spacing w:before="60" w:after="60"/>
              <w:ind w:firstLineChars="0"/>
              <w:rPr>
                <w:rFonts w:eastAsia="宋体"/>
                <w:lang w:bidi="ar"/>
              </w:rPr>
            </w:pPr>
            <w:r>
              <w:rPr>
                <w:rFonts w:hint="eastAsia" w:eastAsia="宋体"/>
                <w:lang w:bidi="ar"/>
              </w:rPr>
              <w:t>教师办公权益服务</w:t>
            </w:r>
          </w:p>
          <w:p w14:paraId="29847091">
            <w:pPr>
              <w:pStyle w:val="25"/>
              <w:widowControl w:val="0"/>
              <w:spacing w:before="60" w:after="60"/>
              <w:ind w:firstLine="0" w:firstLineChars="0"/>
              <w:rPr>
                <w:rFonts w:eastAsia="宋体"/>
                <w:lang w:bidi="ar"/>
              </w:rPr>
            </w:pPr>
            <w:r>
              <w:rPr>
                <w:rFonts w:hint="eastAsia" w:eastAsia="宋体"/>
                <w:lang w:bidi="ar"/>
              </w:rPr>
              <w:t>（一）云端存储指标</w:t>
            </w:r>
          </w:p>
          <w:p w14:paraId="3E2E85F7">
            <w:pPr>
              <w:widowControl/>
              <w:spacing w:line="360" w:lineRule="auto"/>
              <w:jc w:val="left"/>
              <w:rPr>
                <w:rFonts w:ascii="宋体" w:hAnsi="宋体" w:eastAsia="宋体" w:cs="宋体"/>
                <w:sz w:val="24"/>
              </w:rPr>
            </w:pPr>
            <w:r>
              <w:rPr>
                <w:rFonts w:hint="eastAsia" w:ascii="宋体" w:hAnsi="宋体" w:eastAsia="宋体" w:cs="宋体"/>
                <w:sz w:val="24"/>
              </w:rPr>
              <w:t>1.云文档空间具备不少于100GB/人的存储容量，还可以根据教师使用情况进行分配。</w:t>
            </w:r>
          </w:p>
          <w:p w14:paraId="02EEC66D">
            <w:pPr>
              <w:spacing w:before="60" w:after="60"/>
              <w:jc w:val="left"/>
              <w:rPr>
                <w:rFonts w:ascii="宋体" w:hAnsi="宋体" w:eastAsia="宋体" w:cs="宋体"/>
                <w:sz w:val="24"/>
              </w:rPr>
            </w:pPr>
            <w:r>
              <w:rPr>
                <w:rFonts w:hint="eastAsia" w:ascii="宋体" w:hAnsi="宋体" w:eastAsia="宋体" w:cs="宋体"/>
                <w:sz w:val="24"/>
              </w:rPr>
              <w:t>（二）功能应用指标</w:t>
            </w:r>
            <w:r>
              <w:rPr>
                <w:rFonts w:hint="eastAsia" w:ascii="宋体" w:hAnsi="宋体" w:eastAsia="宋体" w:cs="宋体"/>
                <w:sz w:val="24"/>
              </w:rPr>
              <w:tab/>
            </w:r>
            <w:r>
              <w:rPr>
                <w:rFonts w:hint="eastAsia" w:ascii="宋体" w:hAnsi="宋体" w:eastAsia="宋体" w:cs="宋体"/>
                <w:sz w:val="24"/>
              </w:rPr>
              <w:t xml:space="preserve"> </w:t>
            </w:r>
          </w:p>
          <w:p w14:paraId="5C1AC7FF">
            <w:pPr>
              <w:spacing w:before="60" w:after="60"/>
              <w:jc w:val="left"/>
              <w:rPr>
                <w:rFonts w:ascii="宋体" w:hAnsi="宋体" w:eastAsia="宋体" w:cs="宋体"/>
                <w:sz w:val="24"/>
              </w:rPr>
            </w:pPr>
            <w:r>
              <w:rPr>
                <w:rFonts w:hint="eastAsia" w:ascii="宋体" w:hAnsi="宋体" w:eastAsia="宋体" w:cs="宋体"/>
                <w:sz w:val="24"/>
              </w:rPr>
              <w:t>1.支持PDF版式文件格式互转功能，可与Word、Excel、PPT格式文档相互转换。</w:t>
            </w:r>
          </w:p>
          <w:p w14:paraId="30B9BE99">
            <w:pPr>
              <w:spacing w:before="60" w:after="60"/>
              <w:jc w:val="left"/>
              <w:rPr>
                <w:rFonts w:ascii="宋体" w:hAnsi="宋体" w:eastAsia="宋体" w:cs="宋体"/>
                <w:sz w:val="24"/>
              </w:rPr>
            </w:pPr>
            <w:r>
              <w:rPr>
                <w:rFonts w:hint="eastAsia" w:ascii="宋体" w:hAnsi="宋体" w:eastAsia="宋体" w:cs="宋体"/>
                <w:sz w:val="24"/>
              </w:rPr>
              <w:t>2. 支持会议功能，可基于文档发起会议功能，并邀请其他成员参与；支持单独创建会议，通过会议ID或者链接可进行在线会议，可提供云文档共享、屏幕共享多种内容共享方式。</w:t>
            </w:r>
          </w:p>
          <w:p w14:paraId="4087AE43">
            <w:pPr>
              <w:spacing w:before="60" w:after="60"/>
              <w:jc w:val="left"/>
              <w:rPr>
                <w:rFonts w:ascii="宋体" w:hAnsi="宋体" w:eastAsia="宋体" w:cs="宋体"/>
                <w:sz w:val="24"/>
              </w:rPr>
            </w:pPr>
            <w:r>
              <w:rPr>
                <w:rFonts w:hint="eastAsia" w:ascii="宋体" w:hAnsi="宋体" w:eastAsia="宋体" w:cs="宋体"/>
                <w:sz w:val="24"/>
              </w:rPr>
              <w:t>（三）后台管理指标</w:t>
            </w:r>
          </w:p>
          <w:p w14:paraId="05D365D2">
            <w:pPr>
              <w:spacing w:before="60" w:after="60"/>
              <w:jc w:val="left"/>
              <w:rPr>
                <w:rFonts w:ascii="宋体" w:hAnsi="宋体" w:eastAsia="宋体" w:cs="宋体"/>
                <w:sz w:val="24"/>
              </w:rPr>
            </w:pPr>
            <w:r>
              <w:rPr>
                <w:rFonts w:hint="eastAsia" w:ascii="宋体" w:hAnsi="宋体" w:eastAsia="宋体" w:cs="宋体"/>
                <w:sz w:val="24"/>
              </w:rPr>
              <w:t>1.角色管理：根据不同的管理能力，创建不同角色，如日志管理员、组织架构管理员等情况，完成分权管理。满</w:t>
            </w:r>
          </w:p>
          <w:p w14:paraId="56F6DCBE">
            <w:pPr>
              <w:spacing w:before="60" w:after="60"/>
              <w:jc w:val="left"/>
              <w:rPr>
                <w:rFonts w:ascii="宋体" w:hAnsi="宋体" w:eastAsia="宋体" w:cs="宋体"/>
                <w:sz w:val="24"/>
              </w:rPr>
            </w:pPr>
            <w:r>
              <w:rPr>
                <w:rFonts w:hint="eastAsia" w:ascii="宋体" w:hAnsi="宋体" w:eastAsia="宋体" w:cs="宋体"/>
                <w:sz w:val="24"/>
              </w:rPr>
              <w:t>2.日志管理：支持对文档操作、团队操作、后台操作和登录操作进行日志记录，并支持日志导出。</w:t>
            </w:r>
          </w:p>
        </w:tc>
        <w:tc>
          <w:tcPr>
            <w:tcW w:w="1202" w:type="dxa"/>
            <w:vAlign w:val="center"/>
          </w:tcPr>
          <w:p w14:paraId="2FFD5CEF">
            <w:pPr>
              <w:widowControl/>
              <w:spacing w:line="360" w:lineRule="auto"/>
              <w:jc w:val="center"/>
              <w:rPr>
                <w:rFonts w:ascii="宋体" w:hAnsi="宋体"/>
                <w:sz w:val="24"/>
              </w:rPr>
            </w:pPr>
            <w:r>
              <w:rPr>
                <w:rFonts w:hint="eastAsia" w:ascii="宋体" w:hAnsi="宋体" w:eastAsia="宋体" w:cs="宋体"/>
                <w:sz w:val="24"/>
              </w:rPr>
              <w:t>提供有效证明文件或者截图进行证明</w:t>
            </w:r>
          </w:p>
        </w:tc>
      </w:tr>
      <w:tr w14:paraId="2038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14:paraId="2C290615">
            <w:pPr>
              <w:spacing w:line="360" w:lineRule="auto"/>
              <w:jc w:val="center"/>
              <w:rPr>
                <w:rFonts w:ascii="宋体" w:hAnsi="宋体"/>
                <w:sz w:val="24"/>
              </w:rPr>
            </w:pPr>
          </w:p>
        </w:tc>
        <w:tc>
          <w:tcPr>
            <w:tcW w:w="1217" w:type="dxa"/>
            <w:vAlign w:val="center"/>
          </w:tcPr>
          <w:p w14:paraId="754F4BD6">
            <w:pPr>
              <w:widowControl/>
              <w:spacing w:line="360" w:lineRule="auto"/>
              <w:jc w:val="center"/>
              <w:rPr>
                <w:rFonts w:ascii="宋体" w:hAnsi="宋体"/>
                <w:sz w:val="24"/>
              </w:rPr>
            </w:pPr>
            <w:r>
              <w:rPr>
                <w:rFonts w:hint="eastAsia" w:ascii="宋体" w:hAnsi="宋体"/>
                <w:sz w:val="24"/>
              </w:rPr>
              <w:t>▲</w:t>
            </w:r>
          </w:p>
        </w:tc>
        <w:tc>
          <w:tcPr>
            <w:tcW w:w="1418" w:type="dxa"/>
            <w:vAlign w:val="center"/>
          </w:tcPr>
          <w:p w14:paraId="747A74E7">
            <w:pPr>
              <w:widowControl/>
              <w:spacing w:line="360" w:lineRule="auto"/>
              <w:jc w:val="center"/>
              <w:rPr>
                <w:rFonts w:ascii="宋体" w:hAnsi="宋体"/>
                <w:sz w:val="24"/>
              </w:rPr>
            </w:pPr>
            <w:r>
              <w:rPr>
                <w:rFonts w:hint="eastAsia" w:ascii="宋体" w:hAnsi="宋体" w:cs="宋体"/>
                <w:kern w:val="0"/>
                <w:sz w:val="24"/>
              </w:rPr>
              <w:t>国产办公软件场地授权服务</w:t>
            </w:r>
          </w:p>
        </w:tc>
        <w:tc>
          <w:tcPr>
            <w:tcW w:w="3872" w:type="dxa"/>
            <w:vAlign w:val="center"/>
          </w:tcPr>
          <w:p w14:paraId="049DC279">
            <w:pPr>
              <w:spacing w:before="60" w:after="60"/>
              <w:jc w:val="left"/>
              <w:rPr>
                <w:rFonts w:ascii="宋体" w:hAnsi="宋体" w:cs="宋体"/>
                <w:kern w:val="0"/>
                <w:sz w:val="24"/>
                <w:lang w:bidi="ar"/>
              </w:rPr>
            </w:pPr>
            <w:r>
              <w:rPr>
                <w:rFonts w:hint="eastAsia" w:ascii="宋体" w:hAnsi="宋体" w:cs="宋体"/>
                <w:kern w:val="0"/>
                <w:sz w:val="24"/>
                <w:lang w:bidi="ar"/>
              </w:rPr>
              <w:t>二、正版化Office客户端</w:t>
            </w:r>
          </w:p>
          <w:p w14:paraId="31157B4C">
            <w:pPr>
              <w:spacing w:before="60" w:after="60"/>
              <w:jc w:val="left"/>
              <w:rPr>
                <w:rFonts w:ascii="宋体" w:hAnsi="宋体" w:cs="宋体"/>
                <w:kern w:val="0"/>
                <w:sz w:val="24"/>
                <w:lang w:bidi="ar"/>
              </w:rPr>
            </w:pPr>
            <w:r>
              <w:rPr>
                <w:rFonts w:hint="eastAsia" w:ascii="宋体" w:hAnsi="宋体" w:cs="宋体"/>
                <w:kern w:val="0"/>
                <w:sz w:val="24"/>
                <w:lang w:bidi="ar"/>
              </w:rPr>
              <w:t>（一）整体基础性能</w:t>
            </w:r>
          </w:p>
          <w:p w14:paraId="6AFFF159">
            <w:pPr>
              <w:spacing w:before="60" w:after="60"/>
              <w:jc w:val="left"/>
              <w:rPr>
                <w:rFonts w:ascii="宋体" w:hAnsi="宋体" w:cs="宋体"/>
                <w:kern w:val="0"/>
                <w:sz w:val="24"/>
                <w:lang w:bidi="ar"/>
              </w:rPr>
            </w:pPr>
            <w:r>
              <w:rPr>
                <w:rFonts w:hint="eastAsia" w:ascii="宋体" w:hAnsi="宋体" w:cs="宋体"/>
                <w:kern w:val="0"/>
                <w:sz w:val="24"/>
                <w:lang w:bidi="ar"/>
              </w:rPr>
              <w:t>1.投标产品支持窗口多组件/整合模式，支持进行单窗口多标签的拆分与组合，在多窗口模式下支持在系统任务栏显示多主窗口。</w:t>
            </w:r>
          </w:p>
          <w:p w14:paraId="0D2498DA">
            <w:pPr>
              <w:spacing w:before="60" w:after="60"/>
              <w:jc w:val="left"/>
              <w:rPr>
                <w:rFonts w:ascii="宋体" w:hAnsi="宋体" w:cs="宋体"/>
                <w:kern w:val="0"/>
                <w:sz w:val="24"/>
                <w:lang w:bidi="ar"/>
              </w:rPr>
            </w:pPr>
            <w:r>
              <w:rPr>
                <w:rFonts w:hint="eastAsia" w:ascii="宋体" w:hAnsi="宋体" w:cs="宋体"/>
                <w:kern w:val="0"/>
                <w:sz w:val="24"/>
                <w:lang w:bidi="ar"/>
              </w:rPr>
              <w:t>（二）文字模块指标</w:t>
            </w:r>
          </w:p>
          <w:p w14:paraId="61A3C29A">
            <w:pPr>
              <w:spacing w:before="60" w:after="60"/>
              <w:jc w:val="left"/>
              <w:rPr>
                <w:rFonts w:ascii="宋体" w:hAnsi="宋体" w:cs="宋体"/>
                <w:kern w:val="0"/>
                <w:sz w:val="24"/>
                <w:lang w:bidi="ar"/>
              </w:rPr>
            </w:pPr>
            <w:r>
              <w:rPr>
                <w:rFonts w:hint="eastAsia" w:ascii="宋体" w:hAnsi="宋体" w:cs="宋体"/>
                <w:kern w:val="0"/>
                <w:sz w:val="24"/>
                <w:lang w:bidi="ar"/>
              </w:rPr>
              <w:t>1.文字模块支持“翻译”功能，能支持7种语言（中文，英语，韩语，日语，法语，德语，西班牙语）互相翻译转换，同时支持“划词翻译”功能。</w:t>
            </w:r>
          </w:p>
          <w:p w14:paraId="0E86D756">
            <w:pPr>
              <w:spacing w:before="60" w:after="60"/>
              <w:jc w:val="left"/>
              <w:rPr>
                <w:rFonts w:ascii="宋体" w:hAnsi="宋体" w:cs="宋体"/>
                <w:kern w:val="0"/>
                <w:sz w:val="24"/>
                <w:lang w:bidi="ar"/>
              </w:rPr>
            </w:pPr>
            <w:r>
              <w:rPr>
                <w:rFonts w:hint="eastAsia" w:ascii="宋体" w:hAnsi="宋体" w:cs="宋体"/>
                <w:kern w:val="0"/>
                <w:sz w:val="24"/>
                <w:lang w:bidi="ar"/>
              </w:rPr>
              <w:t>2.文字模块智能目录导航，自动识别文档结构，实时调整文档目录；标题格式不用调整样式，也可智能自动生成目录。</w:t>
            </w:r>
          </w:p>
          <w:p w14:paraId="538CCC3F">
            <w:pPr>
              <w:spacing w:before="60" w:after="60"/>
              <w:jc w:val="left"/>
              <w:rPr>
                <w:rFonts w:ascii="宋体" w:hAnsi="宋体" w:cs="宋体"/>
                <w:kern w:val="0"/>
                <w:sz w:val="24"/>
                <w:lang w:bidi="ar"/>
              </w:rPr>
            </w:pPr>
            <w:r>
              <w:rPr>
                <w:rFonts w:hint="eastAsia" w:ascii="宋体" w:hAnsi="宋体" w:cs="宋体"/>
                <w:kern w:val="0"/>
                <w:sz w:val="24"/>
                <w:lang w:bidi="ar"/>
              </w:rPr>
              <w:t>（三）表格模块指标</w:t>
            </w:r>
          </w:p>
          <w:p w14:paraId="082AD14D">
            <w:pPr>
              <w:spacing w:before="60" w:after="60"/>
              <w:jc w:val="left"/>
              <w:rPr>
                <w:rFonts w:ascii="宋体" w:hAnsi="宋体" w:cs="宋体"/>
                <w:kern w:val="0"/>
                <w:sz w:val="24"/>
                <w:lang w:bidi="ar"/>
              </w:rPr>
            </w:pPr>
            <w:r>
              <w:rPr>
                <w:rFonts w:hint="eastAsia" w:ascii="宋体" w:hAnsi="宋体" w:cs="宋体"/>
                <w:kern w:val="0"/>
                <w:sz w:val="24"/>
                <w:lang w:bidi="ar"/>
              </w:rPr>
              <w:t>1.</w:t>
            </w:r>
            <w:r>
              <w:rPr>
                <w:rFonts w:hint="eastAsia" w:ascii="宋体" w:hAnsi="宋体" w:cs="宋体"/>
                <w:kern w:val="0"/>
                <w:sz w:val="24"/>
                <w:lang w:bidi="ar"/>
              </w:rPr>
              <w:tab/>
            </w:r>
            <w:r>
              <w:rPr>
                <w:rFonts w:hint="eastAsia" w:ascii="宋体" w:hAnsi="宋体" w:cs="宋体"/>
                <w:kern w:val="0"/>
                <w:sz w:val="24"/>
                <w:lang w:bidi="ar"/>
              </w:rPr>
              <w:t>表格模块支持表格的快速合并选择，支持教师/学生用户一键选择合并居中、合并单元格、合并相同单元格、合并内容、取消合并单元格、拆分并填充内容。</w:t>
            </w:r>
          </w:p>
          <w:p w14:paraId="2B8D45D8">
            <w:pPr>
              <w:spacing w:before="60" w:after="60"/>
              <w:jc w:val="left"/>
              <w:rPr>
                <w:rFonts w:ascii="宋体" w:hAnsi="宋体" w:cs="宋体"/>
                <w:kern w:val="0"/>
                <w:sz w:val="24"/>
                <w:lang w:bidi="ar"/>
              </w:rPr>
            </w:pPr>
            <w:r>
              <w:rPr>
                <w:rFonts w:hint="eastAsia" w:ascii="宋体" w:hAnsi="宋体" w:cs="宋体"/>
                <w:kern w:val="0"/>
                <w:sz w:val="24"/>
                <w:lang w:bidi="ar"/>
              </w:rPr>
              <w:t>2.</w:t>
            </w:r>
            <w:r>
              <w:rPr>
                <w:rFonts w:hint="eastAsia" w:ascii="宋体" w:hAnsi="宋体" w:cs="宋体"/>
                <w:kern w:val="0"/>
                <w:sz w:val="24"/>
                <w:lang w:bidi="ar"/>
              </w:rPr>
              <w:tab/>
            </w:r>
            <w:r>
              <w:rPr>
                <w:rFonts w:hint="eastAsia" w:ascii="宋体" w:hAnsi="宋体" w:cs="宋体"/>
                <w:kern w:val="0"/>
                <w:sz w:val="24"/>
                <w:lang w:bidi="ar"/>
              </w:rPr>
              <w:t>表格模块在文本输入时，须能提供推荐列表，在教师/学生输入内容即便不是首个字，也可以提供下拉推荐列表，帮助提高录入的速度和准确性。</w:t>
            </w:r>
          </w:p>
          <w:p w14:paraId="48E943B8">
            <w:pPr>
              <w:spacing w:before="60" w:after="60"/>
              <w:jc w:val="left"/>
              <w:rPr>
                <w:rFonts w:ascii="宋体" w:hAnsi="宋体" w:cs="宋体"/>
                <w:kern w:val="0"/>
                <w:sz w:val="24"/>
                <w:lang w:bidi="ar"/>
              </w:rPr>
            </w:pPr>
            <w:r>
              <w:rPr>
                <w:rFonts w:hint="eastAsia" w:ascii="宋体" w:hAnsi="宋体" w:cs="宋体"/>
                <w:kern w:val="0"/>
                <w:sz w:val="24"/>
                <w:lang w:bidi="ar"/>
              </w:rPr>
              <w:t>（四）演示模块指标</w:t>
            </w:r>
          </w:p>
          <w:p w14:paraId="1DAAB5B0">
            <w:pPr>
              <w:spacing w:before="60" w:after="60"/>
              <w:jc w:val="left"/>
              <w:rPr>
                <w:rFonts w:ascii="宋体" w:hAnsi="宋体" w:cs="宋体"/>
                <w:kern w:val="0"/>
                <w:sz w:val="24"/>
                <w:lang w:bidi="ar"/>
              </w:rPr>
            </w:pPr>
            <w:r>
              <w:rPr>
                <w:rFonts w:hint="eastAsia" w:ascii="宋体" w:hAnsi="宋体" w:cs="宋体"/>
                <w:kern w:val="0"/>
                <w:sz w:val="24"/>
                <w:lang w:bidi="ar"/>
              </w:rPr>
              <w:t>1.演示模块，可支持手机移动OFFICE客户端进行控制PC端OFFICE放映的演示文档，实现把手机变成遥控器，便于演讲人能随时切换演示文档。</w:t>
            </w:r>
          </w:p>
          <w:p w14:paraId="3D2C7436">
            <w:pPr>
              <w:spacing w:before="60" w:after="60"/>
              <w:jc w:val="left"/>
              <w:rPr>
                <w:rFonts w:ascii="宋体" w:hAnsi="宋体"/>
                <w:sz w:val="24"/>
              </w:rPr>
            </w:pPr>
            <w:r>
              <w:rPr>
                <w:rFonts w:hint="eastAsia" w:ascii="宋体" w:hAnsi="宋体" w:cs="宋体"/>
                <w:kern w:val="0"/>
                <w:sz w:val="24"/>
                <w:lang w:bidi="ar"/>
              </w:rPr>
              <w:t>2.演示模块支持一键美化功能，可对演示模板进行设计板式、配色调色、统一字体、为图片加效果等作用。</w:t>
            </w:r>
          </w:p>
        </w:tc>
        <w:tc>
          <w:tcPr>
            <w:tcW w:w="1202" w:type="dxa"/>
            <w:vAlign w:val="center"/>
          </w:tcPr>
          <w:p w14:paraId="24667D37">
            <w:pPr>
              <w:widowControl/>
              <w:spacing w:line="360" w:lineRule="auto"/>
              <w:jc w:val="center"/>
              <w:rPr>
                <w:rFonts w:ascii="宋体" w:hAnsi="宋体"/>
                <w:sz w:val="24"/>
              </w:rPr>
            </w:pPr>
            <w:r>
              <w:rPr>
                <w:rFonts w:hint="eastAsia" w:ascii="宋体" w:hAnsi="宋体" w:cs="宋体"/>
                <w:kern w:val="0"/>
                <w:sz w:val="24"/>
                <w:lang w:bidi="ar"/>
              </w:rPr>
              <w:t>提供有效证明文件或者截图进行证明</w:t>
            </w:r>
          </w:p>
        </w:tc>
      </w:tr>
    </w:tbl>
    <w:p w14:paraId="0A81F0B0">
      <w:pPr>
        <w:rPr>
          <w:rFonts w:ascii="仿宋" w:hAnsi="仿宋" w:eastAsia="仿宋"/>
          <w:b/>
          <w:bCs/>
          <w:sz w:val="28"/>
          <w:szCs w:val="28"/>
        </w:rPr>
      </w:pPr>
    </w:p>
    <w:p w14:paraId="705B8E70">
      <w:pPr>
        <w:rPr>
          <w:rFonts w:ascii="仿宋" w:hAnsi="仿宋" w:eastAsia="仿宋"/>
          <w:b/>
          <w:bCs/>
          <w:sz w:val="28"/>
          <w:szCs w:val="28"/>
        </w:rPr>
      </w:pPr>
      <w:r>
        <w:rPr>
          <w:rFonts w:hint="eastAsia" w:ascii="仿宋" w:hAnsi="仿宋" w:eastAsia="仿宋"/>
          <w:b/>
          <w:bCs/>
          <w:sz w:val="28"/>
          <w:szCs w:val="28"/>
        </w:rPr>
        <w:t>注：“★”代表实质性指标，不满足该指标要求将导致响应无效，只允许完全响应或正偏离；“▲”或“</w:t>
      </w:r>
      <w:r>
        <w:rPr>
          <w:rFonts w:hint="eastAsia" w:ascii="仿宋" w:hAnsi="仿宋" w:eastAsia="仿宋"/>
          <w:b/>
          <w:bCs/>
          <w:sz w:val="28"/>
          <w:szCs w:val="28"/>
          <w:lang w:val="zh-CN"/>
        </w:rPr>
        <w:t>#</w:t>
      </w:r>
      <w:r>
        <w:rPr>
          <w:rFonts w:hint="eastAsia" w:ascii="仿宋" w:hAnsi="仿宋" w:eastAsia="仿宋"/>
          <w:b/>
          <w:bCs/>
          <w:sz w:val="28"/>
          <w:szCs w:val="28"/>
        </w:rPr>
        <w:t>”代表重要指标，允许正偏离或负偏离，按评分细则量化区间加分。</w:t>
      </w:r>
    </w:p>
    <w:p w14:paraId="4682BFF2">
      <w:pPr>
        <w:rPr>
          <w:rFonts w:ascii="仿宋" w:hAnsi="仿宋" w:eastAsia="仿宋"/>
          <w:sz w:val="32"/>
          <w:szCs w:val="32"/>
        </w:rPr>
      </w:pPr>
      <w:r>
        <w:rPr>
          <w:rFonts w:ascii="Calibri" w:hAnsi="Calibri" w:eastAsia="仿宋" w:cs="Calibri"/>
          <w:sz w:val="32"/>
          <w:szCs w:val="32"/>
        </w:rPr>
        <w:t> </w:t>
      </w:r>
    </w:p>
    <w:p w14:paraId="5E2DB83B">
      <w:pPr>
        <w:numPr>
          <w:ilvl w:val="0"/>
          <w:numId w:val="5"/>
        </w:numPr>
        <w:rPr>
          <w:rFonts w:ascii="仿宋" w:hAnsi="仿宋" w:eastAsia="仿宋"/>
          <w:sz w:val="32"/>
          <w:szCs w:val="32"/>
        </w:rPr>
      </w:pPr>
      <w:r>
        <w:rPr>
          <w:rFonts w:hint="eastAsia" w:ascii="仿宋" w:hAnsi="仿宋" w:eastAsia="仿宋"/>
          <w:b/>
          <w:bCs/>
          <w:sz w:val="32"/>
          <w:szCs w:val="32"/>
        </w:rPr>
        <w:t>商务要求</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571"/>
        <w:gridCol w:w="1713"/>
        <w:gridCol w:w="2337"/>
        <w:gridCol w:w="2226"/>
      </w:tblGrid>
      <w:tr w14:paraId="7FD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93" w:type="pct"/>
            <w:vAlign w:val="center"/>
          </w:tcPr>
          <w:p w14:paraId="693852E0">
            <w:pPr>
              <w:autoSpaceDE w:val="0"/>
              <w:autoSpaceDN w:val="0"/>
              <w:adjustRightInd w:val="0"/>
              <w:snapToGrid w:val="0"/>
              <w:jc w:val="center"/>
              <w:rPr>
                <w:rFonts w:ascii="宋体" w:hAnsi="宋体" w:cs="宋体"/>
                <w:b/>
                <w:snapToGrid w:val="0"/>
                <w:kern w:val="0"/>
                <w:sz w:val="24"/>
                <w:lang w:val="zh-CN"/>
              </w:rPr>
            </w:pPr>
            <w:r>
              <w:rPr>
                <w:rFonts w:hint="eastAsia" w:ascii="宋体" w:hAnsi="宋体" w:cs="宋体"/>
                <w:b/>
                <w:snapToGrid w:val="0"/>
                <w:kern w:val="0"/>
                <w:sz w:val="24"/>
                <w:lang w:val="zh-CN"/>
              </w:rPr>
              <w:t>序号</w:t>
            </w:r>
          </w:p>
        </w:tc>
        <w:tc>
          <w:tcPr>
            <w:tcW w:w="922" w:type="pct"/>
            <w:vAlign w:val="center"/>
          </w:tcPr>
          <w:p w14:paraId="191865FE">
            <w:pPr>
              <w:autoSpaceDE w:val="0"/>
              <w:autoSpaceDN w:val="0"/>
              <w:adjustRightInd w:val="0"/>
              <w:snapToGrid w:val="0"/>
              <w:jc w:val="center"/>
              <w:rPr>
                <w:rFonts w:ascii="宋体" w:hAnsi="宋体" w:cs="宋体"/>
                <w:b/>
                <w:snapToGrid w:val="0"/>
                <w:kern w:val="0"/>
                <w:sz w:val="24"/>
                <w:lang w:val="zh-CN"/>
              </w:rPr>
            </w:pPr>
            <w:r>
              <w:rPr>
                <w:rFonts w:hint="eastAsia" w:ascii="宋体" w:hAnsi="宋体" w:cs="宋体"/>
                <w:b/>
                <w:snapToGrid w:val="0"/>
                <w:kern w:val="0"/>
                <w:sz w:val="24"/>
                <w:lang w:val="zh-CN"/>
              </w:rPr>
              <w:t>重要性</w:t>
            </w:r>
          </w:p>
        </w:tc>
        <w:tc>
          <w:tcPr>
            <w:tcW w:w="1005" w:type="pct"/>
            <w:vAlign w:val="center"/>
          </w:tcPr>
          <w:p w14:paraId="7456A21C">
            <w:pPr>
              <w:autoSpaceDE w:val="0"/>
              <w:autoSpaceDN w:val="0"/>
              <w:adjustRightInd w:val="0"/>
              <w:snapToGrid w:val="0"/>
              <w:jc w:val="center"/>
              <w:rPr>
                <w:rFonts w:ascii="宋体" w:hAnsi="宋体" w:cs="宋体"/>
                <w:b/>
                <w:snapToGrid w:val="0"/>
                <w:kern w:val="0"/>
                <w:sz w:val="24"/>
                <w:lang w:val="zh-CN"/>
              </w:rPr>
            </w:pPr>
            <w:r>
              <w:rPr>
                <w:rFonts w:hint="eastAsia" w:ascii="宋体" w:hAnsi="宋体" w:cs="宋体"/>
                <w:b/>
                <w:snapToGrid w:val="0"/>
                <w:kern w:val="0"/>
                <w:sz w:val="24"/>
                <w:lang w:val="zh-CN"/>
              </w:rPr>
              <w:t>指标项</w:t>
            </w:r>
          </w:p>
        </w:tc>
        <w:tc>
          <w:tcPr>
            <w:tcW w:w="1371" w:type="pct"/>
            <w:vAlign w:val="center"/>
          </w:tcPr>
          <w:p w14:paraId="3C8CA65C">
            <w:pPr>
              <w:autoSpaceDE w:val="0"/>
              <w:autoSpaceDN w:val="0"/>
              <w:adjustRightInd w:val="0"/>
              <w:snapToGrid w:val="0"/>
              <w:jc w:val="center"/>
              <w:rPr>
                <w:rFonts w:ascii="宋体" w:hAnsi="宋体" w:cs="宋体"/>
                <w:b/>
                <w:snapToGrid w:val="0"/>
                <w:kern w:val="0"/>
                <w:sz w:val="24"/>
                <w:lang w:val="zh-CN"/>
              </w:rPr>
            </w:pPr>
            <w:r>
              <w:rPr>
                <w:rFonts w:hint="eastAsia" w:ascii="宋体" w:hAnsi="宋体" w:cs="宋体"/>
                <w:b/>
                <w:snapToGrid w:val="0"/>
                <w:kern w:val="0"/>
                <w:sz w:val="24"/>
                <w:lang w:val="zh-CN"/>
              </w:rPr>
              <w:t>指标要求</w:t>
            </w:r>
          </w:p>
        </w:tc>
        <w:tc>
          <w:tcPr>
            <w:tcW w:w="1306" w:type="pct"/>
            <w:vAlign w:val="center"/>
          </w:tcPr>
          <w:p w14:paraId="18AC934F">
            <w:pPr>
              <w:autoSpaceDE w:val="0"/>
              <w:autoSpaceDN w:val="0"/>
              <w:adjustRightInd w:val="0"/>
              <w:snapToGrid w:val="0"/>
              <w:jc w:val="center"/>
              <w:rPr>
                <w:rFonts w:ascii="宋体" w:hAnsi="宋体" w:cs="宋体"/>
                <w:b/>
                <w:snapToGrid w:val="0"/>
                <w:kern w:val="0"/>
                <w:sz w:val="24"/>
                <w:lang w:val="zh-CN"/>
              </w:rPr>
            </w:pPr>
            <w:r>
              <w:rPr>
                <w:rFonts w:hint="eastAsia" w:ascii="宋体" w:hAnsi="宋体"/>
                <w:b/>
                <w:sz w:val="24"/>
              </w:rPr>
              <w:t>证明材料要求</w:t>
            </w:r>
          </w:p>
        </w:tc>
      </w:tr>
      <w:tr w14:paraId="169D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3" w:type="pct"/>
            <w:vAlign w:val="center"/>
          </w:tcPr>
          <w:p w14:paraId="0B57579A">
            <w:pPr>
              <w:autoSpaceDE w:val="0"/>
              <w:autoSpaceDN w:val="0"/>
              <w:adjustRightInd w:val="0"/>
              <w:snapToGrid w:val="0"/>
              <w:jc w:val="center"/>
              <w:rPr>
                <w:rFonts w:ascii="宋体" w:hAnsi="宋体" w:cs="宋体"/>
                <w:snapToGrid w:val="0"/>
                <w:kern w:val="0"/>
                <w:sz w:val="24"/>
                <w:lang w:val="zh-CN"/>
              </w:rPr>
            </w:pPr>
            <w:r>
              <w:rPr>
                <w:rFonts w:hint="eastAsia" w:ascii="宋体" w:hAnsi="宋体" w:cs="宋体"/>
                <w:snapToGrid w:val="0"/>
                <w:kern w:val="0"/>
                <w:sz w:val="24"/>
                <w:lang w:val="zh-CN"/>
              </w:rPr>
              <w:t>1</w:t>
            </w:r>
          </w:p>
        </w:tc>
        <w:tc>
          <w:tcPr>
            <w:tcW w:w="922" w:type="pct"/>
            <w:vAlign w:val="center"/>
          </w:tcPr>
          <w:p w14:paraId="2FD2F679">
            <w:pPr>
              <w:autoSpaceDE w:val="0"/>
              <w:autoSpaceDN w:val="0"/>
              <w:adjustRightInd w:val="0"/>
              <w:snapToGrid w:val="0"/>
              <w:jc w:val="center"/>
              <w:rPr>
                <w:rFonts w:ascii="宋体" w:hAnsi="宋体" w:cs="宋体"/>
                <w:snapToGrid w:val="0"/>
                <w:kern w:val="0"/>
                <w:sz w:val="24"/>
                <w:lang w:val="zh-CN"/>
              </w:rPr>
            </w:pPr>
            <w:r>
              <w:rPr>
                <w:rFonts w:hint="eastAsia" w:ascii="宋体" w:hAnsi="宋体"/>
                <w:sz w:val="24"/>
              </w:rPr>
              <w:t>★</w:t>
            </w:r>
          </w:p>
        </w:tc>
        <w:tc>
          <w:tcPr>
            <w:tcW w:w="1005" w:type="pct"/>
            <w:vAlign w:val="center"/>
          </w:tcPr>
          <w:p w14:paraId="050EBABA">
            <w:pPr>
              <w:spacing w:line="360" w:lineRule="auto"/>
              <w:jc w:val="center"/>
              <w:rPr>
                <w:rFonts w:ascii="宋体" w:hAnsi="宋体"/>
                <w:bCs/>
                <w:sz w:val="24"/>
                <w:lang w:val="zh-CN"/>
              </w:rPr>
            </w:pPr>
            <w:r>
              <w:rPr>
                <w:rFonts w:hint="eastAsia" w:ascii="宋体" w:hAnsi="宋体"/>
                <w:bCs/>
                <w:sz w:val="24"/>
              </w:rPr>
              <w:t>交付（实施）的时间（期限）和地点（范围）</w:t>
            </w:r>
          </w:p>
        </w:tc>
        <w:tc>
          <w:tcPr>
            <w:tcW w:w="1371" w:type="pct"/>
          </w:tcPr>
          <w:p w14:paraId="46555A3E">
            <w:pPr>
              <w:spacing w:line="360" w:lineRule="auto"/>
              <w:rPr>
                <w:rFonts w:ascii="宋体" w:hAnsi="宋体"/>
                <w:sz w:val="24"/>
              </w:rPr>
            </w:pPr>
            <w:r>
              <w:rPr>
                <w:rFonts w:hint="eastAsia" w:ascii="宋体" w:hAnsi="宋体"/>
                <w:sz w:val="24"/>
              </w:rPr>
              <w:t>服务期：1年，合同签订后15天内完成服务所需的各类平台的部署，并面向全校提供服务。</w:t>
            </w:r>
          </w:p>
          <w:p w14:paraId="6F5D6A1B">
            <w:pPr>
              <w:spacing w:line="360" w:lineRule="auto"/>
              <w:rPr>
                <w:rFonts w:ascii="宋体" w:hAnsi="宋体"/>
                <w:sz w:val="24"/>
              </w:rPr>
            </w:pPr>
            <w:r>
              <w:rPr>
                <w:rFonts w:hint="eastAsia" w:ascii="宋体" w:hAnsi="宋体"/>
                <w:sz w:val="24"/>
              </w:rPr>
              <w:t>供应商应保证在要求时间内完成全部货物的供货、安装、调试和培训工作,符合国家标准、行业规范和合同等相关文件的要求。</w:t>
            </w:r>
          </w:p>
          <w:p w14:paraId="09CDC1D3">
            <w:pPr>
              <w:spacing w:line="360" w:lineRule="auto"/>
              <w:rPr>
                <w:rFonts w:ascii="宋体" w:hAnsi="宋体"/>
                <w:sz w:val="24"/>
                <w:lang w:val="zh-CN"/>
              </w:rPr>
            </w:pPr>
            <w:r>
              <w:rPr>
                <w:rFonts w:hint="eastAsia" w:ascii="宋体" w:hAnsi="宋体"/>
                <w:sz w:val="24"/>
              </w:rPr>
              <w:t xml:space="preserve">交货地点、安装地点、服务地点：采购人指定地点 </w:t>
            </w:r>
          </w:p>
        </w:tc>
        <w:tc>
          <w:tcPr>
            <w:tcW w:w="1306" w:type="pct"/>
          </w:tcPr>
          <w:p w14:paraId="2390B518">
            <w:pPr>
              <w:autoSpaceDE w:val="0"/>
              <w:autoSpaceDN w:val="0"/>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商务响应偏离表</w:t>
            </w:r>
          </w:p>
        </w:tc>
      </w:tr>
      <w:tr w14:paraId="507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3" w:type="pct"/>
            <w:vAlign w:val="center"/>
          </w:tcPr>
          <w:p w14:paraId="7C1C3D81">
            <w:pPr>
              <w:autoSpaceDE w:val="0"/>
              <w:autoSpaceDN w:val="0"/>
              <w:adjustRightInd w:val="0"/>
              <w:snapToGrid w:val="0"/>
              <w:jc w:val="center"/>
              <w:rPr>
                <w:rFonts w:ascii="宋体" w:hAnsi="宋体" w:cs="宋体"/>
                <w:snapToGrid w:val="0"/>
                <w:kern w:val="0"/>
                <w:sz w:val="24"/>
                <w:lang w:val="zh-CN"/>
              </w:rPr>
            </w:pPr>
            <w:r>
              <w:rPr>
                <w:rFonts w:hint="eastAsia" w:ascii="宋体" w:hAnsi="宋体" w:cs="宋体"/>
                <w:snapToGrid w:val="0"/>
                <w:kern w:val="0"/>
                <w:sz w:val="24"/>
                <w:lang w:val="zh-CN"/>
              </w:rPr>
              <w:t>2</w:t>
            </w:r>
          </w:p>
        </w:tc>
        <w:tc>
          <w:tcPr>
            <w:tcW w:w="922" w:type="pct"/>
            <w:vAlign w:val="center"/>
          </w:tcPr>
          <w:p w14:paraId="6BBF00FA">
            <w:pPr>
              <w:autoSpaceDE w:val="0"/>
              <w:autoSpaceDN w:val="0"/>
              <w:adjustRightInd w:val="0"/>
              <w:snapToGrid w:val="0"/>
              <w:rPr>
                <w:rFonts w:ascii="宋体" w:hAnsi="宋体" w:cs="宋体"/>
                <w:snapToGrid w:val="0"/>
                <w:kern w:val="0"/>
                <w:sz w:val="24"/>
                <w:lang w:val="zh-CN"/>
              </w:rPr>
            </w:pPr>
            <w:r>
              <w:rPr>
                <w:rFonts w:hint="eastAsia" w:ascii="宋体" w:hAnsi="宋体"/>
                <w:sz w:val="24"/>
              </w:rPr>
              <w:t>★</w:t>
            </w:r>
          </w:p>
        </w:tc>
        <w:tc>
          <w:tcPr>
            <w:tcW w:w="1005" w:type="pct"/>
            <w:vAlign w:val="center"/>
          </w:tcPr>
          <w:p w14:paraId="6034312E">
            <w:pPr>
              <w:spacing w:line="360" w:lineRule="auto"/>
              <w:jc w:val="center"/>
              <w:rPr>
                <w:rFonts w:ascii="宋体" w:hAnsi="宋体"/>
                <w:bCs/>
                <w:sz w:val="24"/>
              </w:rPr>
            </w:pPr>
            <w:r>
              <w:rPr>
                <w:rFonts w:hint="eastAsia" w:ascii="宋体" w:hAnsi="宋体"/>
                <w:bCs/>
                <w:sz w:val="24"/>
              </w:rPr>
              <w:t>付款条件</w:t>
            </w:r>
          </w:p>
          <w:p w14:paraId="2E9E98F7">
            <w:pPr>
              <w:spacing w:line="360" w:lineRule="auto"/>
              <w:jc w:val="center"/>
              <w:rPr>
                <w:rFonts w:ascii="宋体" w:hAnsi="宋体"/>
                <w:bCs/>
                <w:sz w:val="24"/>
                <w:lang w:val="zh-CN"/>
              </w:rPr>
            </w:pPr>
            <w:r>
              <w:rPr>
                <w:rFonts w:hint="eastAsia" w:ascii="宋体" w:hAnsi="宋体"/>
                <w:bCs/>
                <w:sz w:val="24"/>
              </w:rPr>
              <w:t>（进度和方式）</w:t>
            </w:r>
          </w:p>
        </w:tc>
        <w:tc>
          <w:tcPr>
            <w:tcW w:w="1371" w:type="pct"/>
          </w:tcPr>
          <w:p w14:paraId="369071EE">
            <w:pPr>
              <w:spacing w:line="360" w:lineRule="auto"/>
              <w:rPr>
                <w:rFonts w:ascii="宋体" w:hAnsi="宋体"/>
                <w:sz w:val="24"/>
              </w:rPr>
            </w:pPr>
            <w:r>
              <w:rPr>
                <w:rFonts w:hint="eastAsia" w:ascii="宋体" w:hAnsi="宋体"/>
                <w:sz w:val="24"/>
              </w:rPr>
              <w:t>本项目履约保证金为合同总额的5%。</w:t>
            </w:r>
          </w:p>
          <w:p w14:paraId="36B7EC37">
            <w:pPr>
              <w:spacing w:line="360" w:lineRule="auto"/>
              <w:rPr>
                <w:rFonts w:ascii="宋体" w:hAnsi="宋体"/>
                <w:sz w:val="24"/>
                <w:lang w:val="zh-CN"/>
              </w:rPr>
            </w:pPr>
            <w:r>
              <w:rPr>
                <w:rFonts w:hint="eastAsia" w:ascii="宋体" w:hAnsi="宋体"/>
                <w:sz w:val="24"/>
              </w:rPr>
              <w:t>采购人验收合格后，采购人于30日之内一次性支付全额货款（供应商应提供增值税专用发票）；合同履约（含质保期）完成后，一次性退还履约保证金，履约保证金不计利息；</w:t>
            </w:r>
          </w:p>
        </w:tc>
        <w:tc>
          <w:tcPr>
            <w:tcW w:w="1306" w:type="pct"/>
            <w:vAlign w:val="center"/>
          </w:tcPr>
          <w:p w14:paraId="1F24B43C">
            <w:pPr>
              <w:autoSpaceDE w:val="0"/>
              <w:autoSpaceDN w:val="0"/>
              <w:adjustRightInd w:val="0"/>
              <w:snapToGrid w:val="0"/>
              <w:spacing w:line="360" w:lineRule="auto"/>
              <w:rPr>
                <w:rFonts w:ascii="宋体" w:hAnsi="宋体" w:cs="宋体"/>
                <w:snapToGrid w:val="0"/>
                <w:kern w:val="0"/>
                <w:sz w:val="24"/>
                <w:lang w:val="zh-CN"/>
              </w:rPr>
            </w:pPr>
            <w:r>
              <w:rPr>
                <w:rFonts w:hint="eastAsia" w:ascii="宋体" w:hAnsi="宋体" w:cs="宋体"/>
                <w:snapToGrid w:val="0"/>
                <w:kern w:val="0"/>
                <w:sz w:val="24"/>
              </w:rPr>
              <w:t>商务响应偏离表</w:t>
            </w:r>
          </w:p>
        </w:tc>
      </w:tr>
      <w:tr w14:paraId="6F60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10254CB8">
            <w:pPr>
              <w:autoSpaceDE w:val="0"/>
              <w:autoSpaceDN w:val="0"/>
              <w:adjustRightInd w:val="0"/>
              <w:snapToGrid w:val="0"/>
              <w:jc w:val="center"/>
              <w:rPr>
                <w:rFonts w:ascii="宋体" w:hAnsi="宋体" w:cs="宋体"/>
                <w:snapToGrid w:val="0"/>
                <w:kern w:val="0"/>
                <w:sz w:val="24"/>
                <w:lang w:val="zh-CN"/>
              </w:rPr>
            </w:pPr>
            <w:r>
              <w:rPr>
                <w:rFonts w:hint="eastAsia" w:ascii="宋体" w:hAnsi="宋体" w:cs="宋体"/>
                <w:snapToGrid w:val="0"/>
                <w:kern w:val="0"/>
                <w:sz w:val="24"/>
                <w:lang w:val="zh-CN"/>
              </w:rPr>
              <w:t>3</w:t>
            </w:r>
          </w:p>
        </w:tc>
        <w:tc>
          <w:tcPr>
            <w:tcW w:w="922" w:type="pct"/>
            <w:vAlign w:val="center"/>
          </w:tcPr>
          <w:p w14:paraId="715E534E">
            <w:pPr>
              <w:widowControl/>
              <w:autoSpaceDE w:val="0"/>
              <w:autoSpaceDN w:val="0"/>
              <w:adjustRightInd w:val="0"/>
              <w:snapToGrid w:val="0"/>
              <w:rPr>
                <w:rFonts w:ascii="宋体" w:hAnsi="宋体" w:cs="宋体"/>
                <w:snapToGrid w:val="0"/>
                <w:kern w:val="0"/>
                <w:sz w:val="24"/>
                <w:lang w:val="zh-CN"/>
              </w:rPr>
            </w:pPr>
            <w:r>
              <w:rPr>
                <w:rFonts w:hint="eastAsia" w:ascii="宋体" w:hAnsi="宋体"/>
                <w:sz w:val="24"/>
              </w:rPr>
              <w:t>★</w:t>
            </w:r>
          </w:p>
        </w:tc>
        <w:tc>
          <w:tcPr>
            <w:tcW w:w="1005" w:type="pct"/>
            <w:vAlign w:val="center"/>
          </w:tcPr>
          <w:p w14:paraId="74177649">
            <w:pPr>
              <w:spacing w:line="360" w:lineRule="auto"/>
              <w:jc w:val="center"/>
              <w:rPr>
                <w:rFonts w:ascii="宋体" w:hAnsi="宋体"/>
                <w:bCs/>
                <w:sz w:val="24"/>
                <w:lang w:val="zh-CN"/>
              </w:rPr>
            </w:pPr>
            <w:r>
              <w:rPr>
                <w:rFonts w:hint="eastAsia" w:ascii="宋体" w:hAnsi="宋体"/>
                <w:bCs/>
                <w:sz w:val="24"/>
              </w:rPr>
              <w:t>包装和运输</w:t>
            </w:r>
          </w:p>
        </w:tc>
        <w:tc>
          <w:tcPr>
            <w:tcW w:w="1371" w:type="pct"/>
          </w:tcPr>
          <w:p w14:paraId="598F3F3A">
            <w:pPr>
              <w:pStyle w:val="26"/>
              <w:spacing w:before="0" w:after="0" w:line="360" w:lineRule="auto"/>
              <w:ind w:firstLine="0"/>
              <w:rPr>
                <w:rFonts w:ascii="宋体" w:hAnsi="宋体"/>
                <w:b/>
              </w:rPr>
            </w:pPr>
            <w:r>
              <w:rPr>
                <w:rFonts w:hint="eastAsia" w:ascii="宋体" w:hAnsi="宋体"/>
                <w:b/>
              </w:rPr>
              <w:t xml:space="preserve">1.安装 </w:t>
            </w:r>
          </w:p>
          <w:p w14:paraId="060D2315">
            <w:pPr>
              <w:pStyle w:val="26"/>
              <w:spacing w:before="0" w:after="0" w:line="360" w:lineRule="auto"/>
              <w:ind w:firstLine="0"/>
              <w:rPr>
                <w:rFonts w:ascii="宋体" w:hAnsi="宋体"/>
              </w:rPr>
            </w:pPr>
            <w:r>
              <w:rPr>
                <w:rFonts w:hint="eastAsia" w:ascii="宋体" w:hAnsi="宋体"/>
              </w:rPr>
              <w:t>（1）货物的拆箱、安装等工作由成交供应商负责，但必须在采购人或用户指定人员的参与下进行。成交供应商施工前必须先经采购人或用户同意方可进行。</w:t>
            </w:r>
          </w:p>
          <w:p w14:paraId="381A4237">
            <w:pPr>
              <w:pStyle w:val="26"/>
              <w:spacing w:before="0" w:after="0" w:line="360" w:lineRule="auto"/>
              <w:ind w:firstLine="0"/>
              <w:rPr>
                <w:rFonts w:ascii="宋体" w:hAnsi="宋体"/>
              </w:rPr>
            </w:pPr>
            <w:r>
              <w:rPr>
                <w:rFonts w:hint="eastAsia" w:ascii="宋体" w:hAnsi="宋体"/>
              </w:rPr>
              <w:t>（2）所有货物、材料均须由成交供应商送货到现场并负责安装，必须出示产品合格证和原厂随货清单。成交供应商应派熟练的工程师现场进行安装，若发生任一项指标不符合竞争性磋商文件要求的，成交供应商应在3天内免费更换其不合格产品，使之达到竞争性磋商文件要求，所有费用由成交供应商负担。</w:t>
            </w:r>
          </w:p>
          <w:p w14:paraId="788AF79E">
            <w:pPr>
              <w:pStyle w:val="26"/>
              <w:spacing w:before="0" w:after="0" w:line="360" w:lineRule="auto"/>
              <w:ind w:firstLine="0"/>
              <w:rPr>
                <w:rFonts w:ascii="宋体" w:hAnsi="宋体"/>
                <w:b/>
              </w:rPr>
            </w:pPr>
            <w:r>
              <w:rPr>
                <w:rFonts w:hint="eastAsia" w:ascii="宋体" w:hAnsi="宋体"/>
                <w:b/>
              </w:rPr>
              <w:t xml:space="preserve">2.验收 </w:t>
            </w:r>
          </w:p>
          <w:p w14:paraId="4739B96F">
            <w:pPr>
              <w:pStyle w:val="26"/>
              <w:spacing w:before="0" w:after="0" w:line="360" w:lineRule="auto"/>
              <w:ind w:firstLine="0"/>
              <w:rPr>
                <w:rFonts w:ascii="宋体" w:hAnsi="宋体"/>
              </w:rPr>
            </w:pPr>
            <w:r>
              <w:rPr>
                <w:rFonts w:hint="eastAsia" w:ascii="宋体" w:hAnsi="宋体"/>
              </w:rPr>
              <w:t>（1）经采购人同意后，采购人与成交供应商双方共同按竞争性磋商文件和国家或行业相关标准进行最终验收。</w:t>
            </w:r>
          </w:p>
          <w:p w14:paraId="4D04138C">
            <w:pPr>
              <w:pStyle w:val="26"/>
              <w:widowControl/>
              <w:spacing w:before="0" w:after="0" w:line="360" w:lineRule="auto"/>
              <w:ind w:firstLine="0"/>
              <w:rPr>
                <w:rFonts w:ascii="宋体" w:hAnsi="宋体"/>
                <w:lang w:val="zh-CN"/>
              </w:rPr>
            </w:pPr>
            <w:r>
              <w:rPr>
                <w:rFonts w:hint="eastAsia" w:ascii="宋体" w:hAnsi="宋体"/>
              </w:rPr>
              <w:t>（2）成交供应商应负责在项目验收时将全部有关技术文件、资料、验收报告等文档汇集成册交付采购人或用户。</w:t>
            </w:r>
          </w:p>
        </w:tc>
        <w:tc>
          <w:tcPr>
            <w:tcW w:w="1306" w:type="pct"/>
          </w:tcPr>
          <w:p w14:paraId="765EE0DF">
            <w:pPr>
              <w:widowControl/>
              <w:autoSpaceDE w:val="0"/>
              <w:autoSpaceDN w:val="0"/>
              <w:adjustRightInd w:val="0"/>
              <w:snapToGrid w:val="0"/>
              <w:spacing w:line="360" w:lineRule="auto"/>
              <w:jc w:val="left"/>
              <w:rPr>
                <w:rFonts w:ascii="宋体" w:hAnsi="宋体" w:cs="宋体"/>
                <w:snapToGrid w:val="0"/>
                <w:kern w:val="0"/>
                <w:sz w:val="24"/>
                <w:lang w:val="zh-CN"/>
              </w:rPr>
            </w:pPr>
            <w:r>
              <w:rPr>
                <w:rFonts w:hint="eastAsia" w:ascii="宋体" w:hAnsi="宋体" w:cs="宋体"/>
                <w:snapToGrid w:val="0"/>
                <w:kern w:val="0"/>
                <w:sz w:val="24"/>
              </w:rPr>
              <w:t>商务响应偏离表</w:t>
            </w:r>
          </w:p>
        </w:tc>
      </w:tr>
      <w:tr w14:paraId="66D7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0C31B0F1">
            <w:pPr>
              <w:autoSpaceDE w:val="0"/>
              <w:autoSpaceDN w:val="0"/>
              <w:adjustRightInd w:val="0"/>
              <w:snapToGrid w:val="0"/>
              <w:jc w:val="center"/>
              <w:rPr>
                <w:rFonts w:ascii="宋体" w:hAnsi="宋体" w:cs="宋体"/>
                <w:snapToGrid w:val="0"/>
                <w:kern w:val="0"/>
                <w:sz w:val="24"/>
                <w:lang w:val="zh-CN"/>
              </w:rPr>
            </w:pPr>
            <w:r>
              <w:rPr>
                <w:rFonts w:hint="eastAsia" w:ascii="宋体" w:hAnsi="宋体" w:cs="宋体"/>
                <w:snapToGrid w:val="0"/>
                <w:kern w:val="0"/>
                <w:sz w:val="24"/>
                <w:lang w:val="zh-CN"/>
              </w:rPr>
              <w:t>4</w:t>
            </w:r>
          </w:p>
        </w:tc>
        <w:tc>
          <w:tcPr>
            <w:tcW w:w="922" w:type="pct"/>
            <w:vAlign w:val="center"/>
          </w:tcPr>
          <w:p w14:paraId="62AEE5CF">
            <w:pPr>
              <w:widowControl/>
              <w:autoSpaceDE w:val="0"/>
              <w:autoSpaceDN w:val="0"/>
              <w:adjustRightInd w:val="0"/>
              <w:snapToGrid w:val="0"/>
              <w:jc w:val="center"/>
              <w:rPr>
                <w:rFonts w:ascii="宋体" w:hAnsi="宋体" w:cs="宋体"/>
                <w:snapToGrid w:val="0"/>
                <w:kern w:val="0"/>
                <w:sz w:val="24"/>
                <w:lang w:val="zh-CN"/>
              </w:rPr>
            </w:pPr>
            <w:r>
              <w:rPr>
                <w:rFonts w:hint="eastAsia" w:ascii="宋体" w:hAnsi="宋体"/>
                <w:sz w:val="24"/>
              </w:rPr>
              <w:t>★</w:t>
            </w:r>
          </w:p>
        </w:tc>
        <w:tc>
          <w:tcPr>
            <w:tcW w:w="1005" w:type="pct"/>
            <w:vAlign w:val="center"/>
          </w:tcPr>
          <w:p w14:paraId="3C61876B">
            <w:pPr>
              <w:spacing w:line="360" w:lineRule="auto"/>
              <w:jc w:val="center"/>
              <w:rPr>
                <w:rFonts w:ascii="宋体" w:hAnsi="宋体"/>
                <w:bCs/>
                <w:sz w:val="24"/>
                <w:lang w:val="zh-CN"/>
              </w:rPr>
            </w:pPr>
            <w:r>
              <w:rPr>
                <w:rFonts w:hint="eastAsia" w:ascii="宋体" w:hAnsi="宋体"/>
                <w:bCs/>
                <w:sz w:val="24"/>
              </w:rPr>
              <w:t>售后服务</w:t>
            </w:r>
          </w:p>
        </w:tc>
        <w:tc>
          <w:tcPr>
            <w:tcW w:w="1371" w:type="pct"/>
          </w:tcPr>
          <w:p w14:paraId="1D435ED6">
            <w:pPr>
              <w:spacing w:line="360" w:lineRule="auto"/>
              <w:rPr>
                <w:rFonts w:ascii="宋体" w:hAnsi="宋体"/>
                <w:kern w:val="0"/>
                <w:sz w:val="24"/>
              </w:rPr>
            </w:pPr>
            <w:r>
              <w:rPr>
                <w:rFonts w:hint="eastAsia" w:ascii="宋体" w:hAnsi="宋体"/>
                <w:kern w:val="0"/>
                <w:sz w:val="24"/>
              </w:rPr>
              <w:t>1、质保期限：要求提供1年的免费质保期，自项目通过终验，双方签字确认之日起计算。</w:t>
            </w:r>
          </w:p>
          <w:p w14:paraId="07FBA34F">
            <w:pPr>
              <w:spacing w:line="360" w:lineRule="auto"/>
              <w:rPr>
                <w:rFonts w:ascii="宋体" w:hAnsi="宋体"/>
                <w:kern w:val="0"/>
                <w:sz w:val="24"/>
              </w:rPr>
            </w:pPr>
            <w:r>
              <w:rPr>
                <w:rFonts w:hint="eastAsia" w:ascii="宋体" w:hAnsi="宋体"/>
                <w:kern w:val="0"/>
                <w:sz w:val="24"/>
              </w:rPr>
              <w:t>2、系统维护：定期维护，对采购人要求的不定期维护提出响应措施，并进行实施。文档更新，实施系统维护或修改设计后，应在1周内更新有关技术文档并提交采购人。</w:t>
            </w:r>
          </w:p>
          <w:p w14:paraId="77004623">
            <w:pPr>
              <w:spacing w:line="360" w:lineRule="auto"/>
              <w:rPr>
                <w:rFonts w:ascii="宋体" w:hAnsi="宋体"/>
                <w:kern w:val="0"/>
                <w:sz w:val="24"/>
              </w:rPr>
            </w:pPr>
            <w:r>
              <w:rPr>
                <w:rFonts w:hint="eastAsia" w:ascii="宋体" w:hAnsi="宋体"/>
                <w:kern w:val="0"/>
                <w:sz w:val="24"/>
              </w:rPr>
              <w:t>3、技术支持及故障响应：</w:t>
            </w:r>
            <w:r>
              <w:rPr>
                <w:rFonts w:hint="eastAsia" w:ascii="宋体" w:hAnsi="宋体" w:cs="宋体"/>
                <w:kern w:val="0"/>
                <w:sz w:val="24"/>
              </w:rPr>
              <w:t>提供 7×24 小时售后服务热线；在接到采购人通知维修后服务随时响应。若运用通讯工具不能解决问题，必须在6小时之内到达现场予以解</w:t>
            </w:r>
            <w:r>
              <w:rPr>
                <w:rFonts w:hint="eastAsia" w:ascii="宋体" w:hAnsi="宋体"/>
                <w:kern w:val="0"/>
                <w:sz w:val="24"/>
              </w:rPr>
              <w:t>。</w:t>
            </w:r>
          </w:p>
          <w:p w14:paraId="19FDC71E">
            <w:pPr>
              <w:spacing w:line="360" w:lineRule="auto"/>
              <w:rPr>
                <w:rFonts w:ascii="宋体" w:hAnsi="宋体"/>
                <w:b/>
                <w:sz w:val="24"/>
                <w:lang w:val="zh-CN"/>
              </w:rPr>
            </w:pPr>
            <w:r>
              <w:rPr>
                <w:rFonts w:hint="eastAsia" w:ascii="宋体" w:hAnsi="宋体"/>
                <w:kern w:val="0"/>
                <w:sz w:val="24"/>
              </w:rPr>
              <w:t>4、产品培训：</w:t>
            </w:r>
            <w:r>
              <w:rPr>
                <w:rFonts w:hint="eastAsia" w:ascii="宋体" w:hAnsi="宋体" w:cs="宋体"/>
                <w:kern w:val="0"/>
                <w:sz w:val="24"/>
              </w:rPr>
              <w:t>提供每年不少于2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tc>
        <w:tc>
          <w:tcPr>
            <w:tcW w:w="1306" w:type="pct"/>
          </w:tcPr>
          <w:p w14:paraId="7002EF3E">
            <w:pPr>
              <w:widowControl/>
              <w:autoSpaceDE w:val="0"/>
              <w:autoSpaceDN w:val="0"/>
              <w:adjustRightInd w:val="0"/>
              <w:snapToGrid w:val="0"/>
              <w:spacing w:line="360" w:lineRule="auto"/>
              <w:jc w:val="left"/>
              <w:rPr>
                <w:rFonts w:ascii="宋体" w:hAnsi="宋体" w:cs="宋体"/>
                <w:snapToGrid w:val="0"/>
                <w:kern w:val="0"/>
                <w:sz w:val="24"/>
                <w:lang w:val="zh-CN"/>
              </w:rPr>
            </w:pPr>
            <w:r>
              <w:rPr>
                <w:rFonts w:hint="eastAsia" w:ascii="宋体" w:hAnsi="宋体" w:cs="宋体"/>
                <w:snapToGrid w:val="0"/>
                <w:kern w:val="0"/>
                <w:sz w:val="24"/>
              </w:rPr>
              <w:t>商务响应偏离表</w:t>
            </w:r>
          </w:p>
        </w:tc>
      </w:tr>
      <w:tr w14:paraId="7F0E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2726D925">
            <w:pPr>
              <w:autoSpaceDE w:val="0"/>
              <w:autoSpaceDN w:val="0"/>
              <w:adjustRightInd w:val="0"/>
              <w:snapToGrid w:val="0"/>
              <w:jc w:val="center"/>
              <w:rPr>
                <w:rFonts w:ascii="宋体" w:hAnsi="宋体" w:cs="宋体"/>
                <w:snapToGrid w:val="0"/>
                <w:kern w:val="0"/>
                <w:sz w:val="24"/>
                <w:lang w:val="zh-CN"/>
              </w:rPr>
            </w:pPr>
            <w:r>
              <w:rPr>
                <w:rFonts w:hint="eastAsia" w:ascii="宋体" w:hAnsi="宋体" w:cs="宋体"/>
                <w:snapToGrid w:val="0"/>
                <w:kern w:val="0"/>
                <w:sz w:val="24"/>
                <w:lang w:val="zh-CN"/>
              </w:rPr>
              <w:t>5</w:t>
            </w:r>
          </w:p>
        </w:tc>
        <w:tc>
          <w:tcPr>
            <w:tcW w:w="922" w:type="pct"/>
            <w:vAlign w:val="center"/>
          </w:tcPr>
          <w:p w14:paraId="030317FC">
            <w:pPr>
              <w:widowControl/>
              <w:autoSpaceDE w:val="0"/>
              <w:autoSpaceDN w:val="0"/>
              <w:adjustRightInd w:val="0"/>
              <w:snapToGrid w:val="0"/>
              <w:jc w:val="center"/>
              <w:rPr>
                <w:rFonts w:ascii="宋体" w:hAnsi="宋体" w:cs="宋体"/>
                <w:snapToGrid w:val="0"/>
                <w:kern w:val="0"/>
                <w:sz w:val="24"/>
                <w:lang w:val="zh-CN"/>
              </w:rPr>
            </w:pPr>
            <w:r>
              <w:rPr>
                <w:rFonts w:hint="eastAsia" w:ascii="宋体" w:hAnsi="宋体"/>
                <w:sz w:val="24"/>
              </w:rPr>
              <w:t>★</w:t>
            </w:r>
          </w:p>
        </w:tc>
        <w:tc>
          <w:tcPr>
            <w:tcW w:w="1005" w:type="pct"/>
            <w:vAlign w:val="center"/>
          </w:tcPr>
          <w:p w14:paraId="0D0C8D1D">
            <w:pPr>
              <w:spacing w:line="360" w:lineRule="auto"/>
              <w:jc w:val="center"/>
              <w:rPr>
                <w:rFonts w:ascii="宋体" w:hAnsi="宋体"/>
                <w:bCs/>
                <w:sz w:val="24"/>
                <w:lang w:val="zh-CN"/>
              </w:rPr>
            </w:pPr>
            <w:r>
              <w:rPr>
                <w:rFonts w:hint="eastAsia" w:ascii="宋体" w:hAnsi="宋体"/>
                <w:bCs/>
                <w:sz w:val="24"/>
              </w:rPr>
              <w:t>验收</w:t>
            </w:r>
          </w:p>
        </w:tc>
        <w:tc>
          <w:tcPr>
            <w:tcW w:w="1371" w:type="pct"/>
          </w:tcPr>
          <w:p w14:paraId="445711F0">
            <w:pPr>
              <w:spacing w:line="360" w:lineRule="auto"/>
              <w:rPr>
                <w:rFonts w:ascii="宋体" w:hAnsi="宋体" w:cs="宋体"/>
                <w:kern w:val="0"/>
                <w:sz w:val="24"/>
              </w:rPr>
            </w:pPr>
            <w:r>
              <w:rPr>
                <w:rFonts w:hint="eastAsia" w:ascii="宋体" w:hAnsi="宋体" w:cs="宋体"/>
                <w:kern w:val="0"/>
                <w:sz w:val="24"/>
              </w:rPr>
              <w:t>1、成交供应商在交付及验收活动中必须遵守采购人的有关规定。</w:t>
            </w:r>
          </w:p>
          <w:p w14:paraId="4C87D16B">
            <w:pPr>
              <w:spacing w:line="360" w:lineRule="auto"/>
              <w:rPr>
                <w:rFonts w:ascii="宋体" w:hAnsi="宋体" w:cs="宋体"/>
                <w:kern w:val="0"/>
                <w:sz w:val="24"/>
              </w:rPr>
            </w:pPr>
            <w:r>
              <w:rPr>
                <w:rFonts w:hint="eastAsia" w:ascii="宋体" w:hAnsi="宋体" w:cs="宋体"/>
                <w:kern w:val="0"/>
                <w:sz w:val="24"/>
              </w:rPr>
              <w:t>2、最终验收：在收到成交供应商书面验收通知后，由采购人组织相关人员依照相关标准、规范、要求、合同及有关附件要求进行验收。</w:t>
            </w:r>
          </w:p>
          <w:p w14:paraId="3AEAD76C">
            <w:pPr>
              <w:spacing w:line="360" w:lineRule="auto"/>
              <w:rPr>
                <w:rFonts w:ascii="宋体" w:hAnsi="宋体"/>
                <w:sz w:val="24"/>
                <w:lang w:val="zh-CN"/>
              </w:rPr>
            </w:pPr>
            <w:r>
              <w:rPr>
                <w:rFonts w:hint="eastAsia" w:ascii="宋体" w:hAnsi="宋体" w:cs="宋体"/>
                <w:kern w:val="0"/>
                <w:sz w:val="24"/>
              </w:rPr>
              <w:t>3、相关检验检测和验收费用全部由成交供应商承担。</w:t>
            </w:r>
          </w:p>
        </w:tc>
        <w:tc>
          <w:tcPr>
            <w:tcW w:w="1306" w:type="pct"/>
          </w:tcPr>
          <w:p w14:paraId="5A7F4525">
            <w:pPr>
              <w:widowControl/>
              <w:autoSpaceDE w:val="0"/>
              <w:autoSpaceDN w:val="0"/>
              <w:adjustRightInd w:val="0"/>
              <w:snapToGrid w:val="0"/>
              <w:spacing w:line="360" w:lineRule="auto"/>
              <w:jc w:val="left"/>
              <w:rPr>
                <w:rFonts w:ascii="宋体" w:hAnsi="宋体" w:cs="宋体"/>
                <w:snapToGrid w:val="0"/>
                <w:kern w:val="0"/>
                <w:sz w:val="24"/>
                <w:lang w:val="zh-CN"/>
              </w:rPr>
            </w:pPr>
            <w:r>
              <w:rPr>
                <w:rFonts w:hint="eastAsia" w:ascii="宋体" w:hAnsi="宋体" w:cs="宋体"/>
                <w:snapToGrid w:val="0"/>
                <w:kern w:val="0"/>
                <w:sz w:val="24"/>
              </w:rPr>
              <w:t>商务响应偏离表</w:t>
            </w:r>
          </w:p>
        </w:tc>
      </w:tr>
      <w:tr w14:paraId="60FC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0AB981E3">
            <w:pPr>
              <w:autoSpaceDE w:val="0"/>
              <w:autoSpaceDN w:val="0"/>
              <w:adjustRightInd w:val="0"/>
              <w:snapToGrid w:val="0"/>
              <w:jc w:val="center"/>
              <w:rPr>
                <w:rFonts w:ascii="宋体" w:hAnsi="宋体" w:cs="宋体"/>
                <w:snapToGrid w:val="0"/>
                <w:kern w:val="0"/>
                <w:sz w:val="24"/>
                <w:lang w:val="zh-CN"/>
              </w:rPr>
            </w:pPr>
          </w:p>
        </w:tc>
        <w:tc>
          <w:tcPr>
            <w:tcW w:w="922" w:type="pct"/>
            <w:vAlign w:val="center"/>
          </w:tcPr>
          <w:p w14:paraId="09FEEF56">
            <w:pPr>
              <w:widowControl/>
              <w:autoSpaceDE w:val="0"/>
              <w:autoSpaceDN w:val="0"/>
              <w:adjustRightInd w:val="0"/>
              <w:snapToGrid w:val="0"/>
              <w:jc w:val="center"/>
              <w:rPr>
                <w:rFonts w:ascii="宋体" w:hAnsi="宋体"/>
                <w:sz w:val="24"/>
              </w:rPr>
            </w:pPr>
            <w:r>
              <w:rPr>
                <w:rFonts w:ascii="宋体" w:hAnsi="宋体"/>
                <w:sz w:val="24"/>
              </w:rPr>
              <w:t>▲</w:t>
            </w:r>
          </w:p>
        </w:tc>
        <w:tc>
          <w:tcPr>
            <w:tcW w:w="1005" w:type="pct"/>
            <w:vAlign w:val="center"/>
          </w:tcPr>
          <w:p w14:paraId="03444114">
            <w:pPr>
              <w:spacing w:line="360" w:lineRule="auto"/>
              <w:jc w:val="center"/>
              <w:rPr>
                <w:rFonts w:ascii="宋体" w:hAnsi="宋体"/>
                <w:bCs/>
                <w:sz w:val="24"/>
              </w:rPr>
            </w:pPr>
            <w:r>
              <w:rPr>
                <w:rFonts w:hint="eastAsia" w:ascii="宋体" w:hAnsi="宋体"/>
                <w:bCs/>
                <w:sz w:val="24"/>
              </w:rPr>
              <w:t>业绩</w:t>
            </w:r>
          </w:p>
        </w:tc>
        <w:tc>
          <w:tcPr>
            <w:tcW w:w="1371" w:type="pct"/>
          </w:tcPr>
          <w:p w14:paraId="59EC45AB">
            <w:pPr>
              <w:spacing w:line="360" w:lineRule="auto"/>
              <w:rPr>
                <w:rFonts w:ascii="宋体" w:hAnsi="宋体" w:cs="宋体"/>
                <w:kern w:val="0"/>
                <w:sz w:val="24"/>
              </w:rPr>
            </w:pPr>
            <w:r>
              <w:rPr>
                <w:rFonts w:ascii="宋体" w:hAnsi="宋体" w:cs="宋体"/>
                <w:kern w:val="0"/>
                <w:sz w:val="24"/>
              </w:rPr>
              <w:t>2</w:t>
            </w:r>
            <w:r>
              <w:rPr>
                <w:rFonts w:hint="eastAsia" w:ascii="宋体" w:hAnsi="宋体" w:cs="宋体"/>
                <w:kern w:val="0"/>
                <w:sz w:val="24"/>
              </w:rPr>
              <w:t>021</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1 </w:t>
            </w:r>
            <w:r>
              <w:rPr>
                <w:rFonts w:hint="eastAsia" w:ascii="宋体" w:hAnsi="宋体" w:cs="宋体"/>
                <w:kern w:val="0"/>
                <w:sz w:val="24"/>
              </w:rPr>
              <w:t>月</w:t>
            </w:r>
            <w:r>
              <w:rPr>
                <w:rFonts w:ascii="宋体" w:hAnsi="宋体" w:cs="宋体"/>
                <w:kern w:val="0"/>
                <w:sz w:val="24"/>
              </w:rPr>
              <w:t xml:space="preserve">1 </w:t>
            </w:r>
            <w:r>
              <w:rPr>
                <w:rFonts w:hint="eastAsia" w:ascii="宋体" w:hAnsi="宋体" w:cs="宋体"/>
                <w:kern w:val="0"/>
                <w:sz w:val="24"/>
              </w:rPr>
              <w:t>日以来（以合同签订日期为准）所拥有类似业绩，须提供完整业绩证明文件。</w:t>
            </w:r>
          </w:p>
          <w:p w14:paraId="5CCEC0C5">
            <w:pPr>
              <w:spacing w:line="360" w:lineRule="auto"/>
              <w:rPr>
                <w:rFonts w:ascii="宋体" w:hAnsi="宋体" w:cs="宋体"/>
                <w:kern w:val="0"/>
                <w:sz w:val="24"/>
              </w:rPr>
            </w:pPr>
            <w:r>
              <w:rPr>
                <w:rFonts w:ascii="宋体" w:hAnsi="宋体" w:cs="宋体"/>
                <w:kern w:val="0"/>
                <w:sz w:val="24"/>
              </w:rPr>
              <w:t>1</w:t>
            </w:r>
            <w:r>
              <w:rPr>
                <w:rFonts w:hint="eastAsia" w:ascii="宋体" w:hAnsi="宋体" w:cs="宋体"/>
                <w:kern w:val="0"/>
                <w:sz w:val="24"/>
              </w:rPr>
              <w:t>、完整的业绩证明文件应具备中标（成交）公告截图、合同扫描件。</w:t>
            </w:r>
          </w:p>
          <w:p w14:paraId="7C803C47">
            <w:pPr>
              <w:spacing w:line="360" w:lineRule="auto"/>
              <w:rPr>
                <w:rFonts w:ascii="宋体" w:hAnsi="宋体" w:cs="宋体"/>
                <w:kern w:val="0"/>
                <w:sz w:val="24"/>
              </w:rPr>
            </w:pPr>
            <w:r>
              <w:rPr>
                <w:rFonts w:ascii="宋体" w:hAnsi="宋体" w:cs="宋体"/>
                <w:kern w:val="0"/>
                <w:sz w:val="24"/>
              </w:rPr>
              <w:t>2</w:t>
            </w:r>
            <w:r>
              <w:rPr>
                <w:rFonts w:hint="eastAsia" w:ascii="宋体" w:hAnsi="宋体" w:cs="宋体"/>
                <w:kern w:val="0"/>
                <w:sz w:val="24"/>
              </w:rPr>
              <w:t>、合同内容必须包含合同首页、标的及金额所在页、合同签订时间、双方签字盖章页、详细的设备清单。</w:t>
            </w:r>
          </w:p>
        </w:tc>
        <w:tc>
          <w:tcPr>
            <w:tcW w:w="1306" w:type="pct"/>
          </w:tcPr>
          <w:p w14:paraId="32006957">
            <w:pPr>
              <w:widowControl/>
              <w:autoSpaceDE w:val="0"/>
              <w:autoSpaceDN w:val="0"/>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合同扫描件</w:t>
            </w:r>
          </w:p>
        </w:tc>
      </w:tr>
      <w:tr w14:paraId="2DDF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Align w:val="center"/>
          </w:tcPr>
          <w:p w14:paraId="41B3DB0F">
            <w:pPr>
              <w:autoSpaceDE w:val="0"/>
              <w:autoSpaceDN w:val="0"/>
              <w:adjustRightInd w:val="0"/>
              <w:snapToGrid w:val="0"/>
              <w:jc w:val="center"/>
              <w:rPr>
                <w:rFonts w:ascii="宋体" w:hAnsi="宋体" w:cs="宋体"/>
                <w:snapToGrid w:val="0"/>
                <w:kern w:val="0"/>
                <w:sz w:val="24"/>
                <w:lang w:val="zh-CN"/>
              </w:rPr>
            </w:pPr>
          </w:p>
        </w:tc>
        <w:tc>
          <w:tcPr>
            <w:tcW w:w="922" w:type="pct"/>
            <w:vAlign w:val="center"/>
          </w:tcPr>
          <w:p w14:paraId="2EB6F2DC">
            <w:pPr>
              <w:widowControl/>
              <w:autoSpaceDE w:val="0"/>
              <w:autoSpaceDN w:val="0"/>
              <w:adjustRightInd w:val="0"/>
              <w:snapToGrid w:val="0"/>
              <w:jc w:val="center"/>
              <w:rPr>
                <w:rFonts w:ascii="宋体" w:hAnsi="宋体"/>
                <w:sz w:val="24"/>
              </w:rPr>
            </w:pPr>
            <w:r>
              <w:rPr>
                <w:rFonts w:ascii="宋体" w:hAnsi="宋体"/>
                <w:sz w:val="24"/>
              </w:rPr>
              <w:t>▲</w:t>
            </w:r>
          </w:p>
        </w:tc>
        <w:tc>
          <w:tcPr>
            <w:tcW w:w="1005" w:type="pct"/>
            <w:vAlign w:val="center"/>
          </w:tcPr>
          <w:p w14:paraId="34C82138">
            <w:pPr>
              <w:spacing w:line="360" w:lineRule="auto"/>
              <w:jc w:val="center"/>
              <w:rPr>
                <w:rFonts w:ascii="宋体" w:hAnsi="宋体"/>
                <w:bCs/>
                <w:sz w:val="24"/>
              </w:rPr>
            </w:pPr>
            <w:r>
              <w:rPr>
                <w:rFonts w:hint="eastAsia" w:ascii="宋体" w:hAnsi="宋体"/>
                <w:bCs/>
                <w:sz w:val="24"/>
              </w:rPr>
              <w:t>售后服务</w:t>
            </w:r>
          </w:p>
        </w:tc>
        <w:tc>
          <w:tcPr>
            <w:tcW w:w="1371" w:type="pct"/>
          </w:tcPr>
          <w:p w14:paraId="50800D03">
            <w:pPr>
              <w:spacing w:line="360" w:lineRule="auto"/>
              <w:rPr>
                <w:rFonts w:ascii="宋体" w:hAnsi="宋体" w:cs="宋体"/>
                <w:kern w:val="0"/>
                <w:sz w:val="24"/>
              </w:rPr>
            </w:pPr>
            <w:r>
              <w:rPr>
                <w:rFonts w:ascii="宋体" w:hAnsi="宋体" w:cs="宋体"/>
                <w:kern w:val="0"/>
                <w:sz w:val="24"/>
              </w:rPr>
              <w:t>1</w:t>
            </w:r>
            <w:r>
              <w:rPr>
                <w:rFonts w:hint="eastAsia" w:ascii="宋体" w:hAnsi="宋体" w:cs="宋体"/>
                <w:kern w:val="0"/>
                <w:sz w:val="24"/>
              </w:rPr>
              <w:t>、提供详细完整的售后服务方案。包含但不限于：维护，应急响应速度及措施，质保时间范围等。</w:t>
            </w:r>
          </w:p>
          <w:p w14:paraId="79CED982">
            <w:pPr>
              <w:spacing w:line="360" w:lineRule="auto"/>
              <w:rPr>
                <w:rFonts w:ascii="宋体" w:hAnsi="宋体" w:cs="宋体"/>
                <w:kern w:val="0"/>
                <w:sz w:val="24"/>
              </w:rPr>
            </w:pPr>
            <w:r>
              <w:rPr>
                <w:rFonts w:ascii="宋体" w:hAnsi="宋体" w:cs="宋体"/>
                <w:kern w:val="0"/>
                <w:sz w:val="24"/>
              </w:rPr>
              <w:t>2</w:t>
            </w:r>
            <w:r>
              <w:rPr>
                <w:rFonts w:hint="eastAsia" w:ascii="宋体" w:hAnsi="宋体" w:cs="宋体"/>
                <w:kern w:val="0"/>
                <w:sz w:val="24"/>
              </w:rPr>
              <w:t>、提供详细的培训方案：培训覆盖管理员培训和用户培训，并且每年培训次数不少于3次。</w:t>
            </w:r>
          </w:p>
        </w:tc>
        <w:tc>
          <w:tcPr>
            <w:tcW w:w="1306" w:type="pct"/>
          </w:tcPr>
          <w:p w14:paraId="451452E2">
            <w:pPr>
              <w:widowControl/>
              <w:autoSpaceDE w:val="0"/>
              <w:autoSpaceDN w:val="0"/>
              <w:adjustRightInd w:val="0"/>
              <w:snapToGrid w:val="0"/>
              <w:spacing w:line="360" w:lineRule="auto"/>
              <w:jc w:val="left"/>
              <w:rPr>
                <w:rFonts w:ascii="宋体" w:hAnsi="宋体" w:cs="宋体"/>
                <w:snapToGrid w:val="0"/>
                <w:kern w:val="0"/>
                <w:sz w:val="24"/>
              </w:rPr>
            </w:pPr>
            <w:r>
              <w:rPr>
                <w:rFonts w:hint="eastAsia" w:ascii="宋体" w:hAnsi="宋体" w:cs="宋体"/>
                <w:snapToGrid w:val="0"/>
                <w:kern w:val="0"/>
                <w:sz w:val="24"/>
              </w:rPr>
              <w:t>相关技术文件及承诺函</w:t>
            </w:r>
          </w:p>
        </w:tc>
      </w:tr>
    </w:tbl>
    <w:p w14:paraId="7EAB56AB">
      <w:pPr>
        <w:rPr>
          <w:rFonts w:ascii="仿宋" w:hAnsi="仿宋" w:eastAsia="仿宋"/>
          <w:b/>
          <w:bCs/>
          <w:sz w:val="28"/>
          <w:szCs w:val="28"/>
        </w:rPr>
      </w:pPr>
    </w:p>
    <w:p w14:paraId="40108833">
      <w:pPr>
        <w:rPr>
          <w:rFonts w:ascii="仿宋" w:hAnsi="仿宋" w:eastAsia="仿宋"/>
          <w:b/>
          <w:bCs/>
          <w:sz w:val="28"/>
          <w:szCs w:val="28"/>
        </w:rPr>
      </w:pPr>
    </w:p>
    <w:p w14:paraId="4086CDD6">
      <w:pPr>
        <w:rPr>
          <w:rFonts w:ascii="仿宋" w:hAnsi="仿宋" w:eastAsia="仿宋"/>
          <w:b/>
          <w:bCs/>
          <w:sz w:val="28"/>
          <w:szCs w:val="28"/>
        </w:rPr>
      </w:pPr>
      <w:r>
        <w:rPr>
          <w:rFonts w:hint="eastAsia" w:ascii="仿宋" w:hAnsi="仿宋" w:eastAsia="仿宋"/>
          <w:b/>
          <w:bCs/>
          <w:sz w:val="28"/>
          <w:szCs w:val="28"/>
        </w:rPr>
        <w:t>注：“★”代表实质性指标，不满足该指标要求将导致响应无效，只允许完全响应或正偏离。</w:t>
      </w:r>
    </w:p>
    <w:p w14:paraId="32837C9C">
      <w:pPr>
        <w:rPr>
          <w:rFonts w:ascii="仿宋" w:hAnsi="仿宋" w:eastAsia="仿宋" w:cs="仿宋"/>
          <w:b/>
          <w:bCs/>
          <w:sz w:val="32"/>
          <w:szCs w:val="32"/>
        </w:rPr>
      </w:pPr>
      <w:bookmarkStart w:id="18" w:name="_GoBack"/>
      <w:bookmarkEnd w:id="1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3AFD">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19850F56">
                          <w:pPr>
                            <w:pStyle w:val="8"/>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28</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19850F56">
                    <w:pPr>
                      <w:pStyle w:val="8"/>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28</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04CC2"/>
    <w:multiLevelType w:val="multilevel"/>
    <w:tmpl w:val="32B04CC2"/>
    <w:lvl w:ilvl="0" w:tentative="0">
      <w:start w:val="3"/>
      <w:numFmt w:val="japaneseCounting"/>
      <w:lvlText w:val="%1、"/>
      <w:lvlJc w:val="left"/>
      <w:pPr>
        <w:ind w:left="480" w:hanging="480"/>
      </w:pPr>
      <w:rPr>
        <w:rFonts w:hint="default" w:ascii="宋体" w:hAnsi="宋体" w:eastAsia="宋体" w:cs="宋体"/>
        <w:color w:val="00000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A3F37CD"/>
    <w:multiLevelType w:val="multilevel"/>
    <w:tmpl w:val="3A3F37CD"/>
    <w:lvl w:ilvl="0" w:tentative="0">
      <w:start w:val="1"/>
      <w:numFmt w:val="japaneseCounting"/>
      <w:lvlText w:val="%1、"/>
      <w:lvlJc w:val="left"/>
      <w:pPr>
        <w:ind w:left="480" w:hanging="480"/>
      </w:pPr>
      <w:rPr>
        <w:rFonts w:hint="default"/>
      </w:rPr>
    </w:lvl>
    <w:lvl w:ilvl="1" w:tentative="0">
      <w:start w:val="4"/>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B5E1F1E"/>
    <w:multiLevelType w:val="multilevel"/>
    <w:tmpl w:val="4B5E1F1E"/>
    <w:lvl w:ilvl="0" w:tentative="0">
      <w:start w:val="1"/>
      <w:numFmt w:val="japaneseCount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1481039"/>
    <w:multiLevelType w:val="multilevel"/>
    <w:tmpl w:val="51481039"/>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MjVhYjZmZjE3MTdmNDZjMDZjODgwMjA2MWMzZjcifQ=="/>
  </w:docVars>
  <w:rsids>
    <w:rsidRoot w:val="00172A27"/>
    <w:rsid w:val="00030FE2"/>
    <w:rsid w:val="00094370"/>
    <w:rsid w:val="000A267E"/>
    <w:rsid w:val="000B6D36"/>
    <w:rsid w:val="00172A27"/>
    <w:rsid w:val="00174E10"/>
    <w:rsid w:val="001A548C"/>
    <w:rsid w:val="001F6F11"/>
    <w:rsid w:val="001F77F3"/>
    <w:rsid w:val="003264D6"/>
    <w:rsid w:val="00330937"/>
    <w:rsid w:val="00367EDA"/>
    <w:rsid w:val="003E3FB1"/>
    <w:rsid w:val="00441209"/>
    <w:rsid w:val="00476453"/>
    <w:rsid w:val="004A790F"/>
    <w:rsid w:val="004E3BB2"/>
    <w:rsid w:val="00521DA8"/>
    <w:rsid w:val="00527718"/>
    <w:rsid w:val="005420E5"/>
    <w:rsid w:val="00556802"/>
    <w:rsid w:val="00595925"/>
    <w:rsid w:val="005E1C01"/>
    <w:rsid w:val="0063134A"/>
    <w:rsid w:val="00666DC4"/>
    <w:rsid w:val="006965A7"/>
    <w:rsid w:val="0072755E"/>
    <w:rsid w:val="00753FD6"/>
    <w:rsid w:val="007704A1"/>
    <w:rsid w:val="007D676F"/>
    <w:rsid w:val="007E05B2"/>
    <w:rsid w:val="00864D85"/>
    <w:rsid w:val="00873F47"/>
    <w:rsid w:val="008762EC"/>
    <w:rsid w:val="008831A2"/>
    <w:rsid w:val="008D3587"/>
    <w:rsid w:val="008E3588"/>
    <w:rsid w:val="00943570"/>
    <w:rsid w:val="009553F9"/>
    <w:rsid w:val="00A25B6E"/>
    <w:rsid w:val="00A3418C"/>
    <w:rsid w:val="00A348F8"/>
    <w:rsid w:val="00A72559"/>
    <w:rsid w:val="00A81DB5"/>
    <w:rsid w:val="00AA2EA9"/>
    <w:rsid w:val="00B07818"/>
    <w:rsid w:val="00B54114"/>
    <w:rsid w:val="00B80393"/>
    <w:rsid w:val="00C418A6"/>
    <w:rsid w:val="00C42079"/>
    <w:rsid w:val="00C50F11"/>
    <w:rsid w:val="00C70B91"/>
    <w:rsid w:val="00CA16C2"/>
    <w:rsid w:val="00D15067"/>
    <w:rsid w:val="00E14492"/>
    <w:rsid w:val="00F64F10"/>
    <w:rsid w:val="00FB364B"/>
    <w:rsid w:val="00FB3D0D"/>
    <w:rsid w:val="00FC12E8"/>
    <w:rsid w:val="0C2C1CEC"/>
    <w:rsid w:val="0FF45EDB"/>
    <w:rsid w:val="142002AF"/>
    <w:rsid w:val="2002442B"/>
    <w:rsid w:val="2B8D79DE"/>
    <w:rsid w:val="3224576E"/>
    <w:rsid w:val="37F61AE2"/>
    <w:rsid w:val="3915496F"/>
    <w:rsid w:val="39621884"/>
    <w:rsid w:val="39E229C1"/>
    <w:rsid w:val="3A9C220F"/>
    <w:rsid w:val="45423CD1"/>
    <w:rsid w:val="486D0780"/>
    <w:rsid w:val="4C1D6E9F"/>
    <w:rsid w:val="4E676DE5"/>
    <w:rsid w:val="6A792B7D"/>
    <w:rsid w:val="726E1727"/>
    <w:rsid w:val="73777313"/>
    <w:rsid w:val="7FD0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6"/>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annotation text"/>
    <w:basedOn w:val="1"/>
    <w:qFormat/>
    <w:uiPriority w:val="0"/>
    <w:pPr>
      <w:jc w:val="left"/>
    </w:pPr>
    <w:rPr>
      <w:rFonts w:cs="Times New Roman"/>
    </w:rPr>
  </w:style>
  <w:style w:type="paragraph" w:styleId="6">
    <w:name w:val="Body Text"/>
    <w:basedOn w:val="1"/>
    <w:link w:val="17"/>
    <w:autoRedefine/>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7">
    <w:name w:val="Body Text Indent"/>
    <w:basedOn w:val="1"/>
    <w:link w:val="22"/>
    <w:qFormat/>
    <w:uiPriority w:val="0"/>
    <w:pPr>
      <w:spacing w:after="120"/>
      <w:ind w:left="420" w:leftChars="200"/>
    </w:pPr>
    <w:rPr>
      <w:rFonts w:ascii="Calibri" w:hAnsi="Calibri" w:eastAsia="宋体" w:cs="Times New Roman"/>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1">
    <w:name w:val="Body Text First Indent"/>
    <w:basedOn w:val="6"/>
    <w:link w:val="21"/>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2">
    <w:name w:val="Body Text First Indent 2"/>
    <w:basedOn w:val="7"/>
    <w:link w:val="23"/>
    <w:qFormat/>
    <w:uiPriority w:val="0"/>
    <w:pPr>
      <w:ind w:firstLine="420" w:firstLineChars="2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标题 5 Char"/>
    <w:basedOn w:val="15"/>
    <w:link w:val="3"/>
    <w:qFormat/>
    <w:uiPriority w:val="1"/>
    <w:rPr>
      <w:rFonts w:ascii="宋体" w:hAnsi="宋体" w:eastAsia="宋体" w:cs="宋体"/>
      <w:b/>
      <w:bCs/>
      <w:sz w:val="19"/>
      <w:szCs w:val="19"/>
      <w:lang w:val="zh-CN" w:bidi="zh-CN"/>
    </w:rPr>
  </w:style>
  <w:style w:type="character" w:customStyle="1" w:styleId="17">
    <w:name w:val="正文文本 Char"/>
    <w:basedOn w:val="15"/>
    <w:link w:val="6"/>
    <w:qFormat/>
    <w:uiPriority w:val="1"/>
    <w:rPr>
      <w:rFonts w:ascii="仿宋" w:hAnsi="仿宋" w:eastAsia="仿宋" w:cs="宋体"/>
      <w:sz w:val="24"/>
      <w:szCs w:val="24"/>
      <w:lang w:bidi="zh-CN"/>
    </w:rPr>
  </w:style>
  <w:style w:type="character" w:customStyle="1" w:styleId="18">
    <w:name w:val="页眉 Char"/>
    <w:basedOn w:val="15"/>
    <w:link w:val="9"/>
    <w:qFormat/>
    <w:uiPriority w:val="0"/>
    <w:rPr>
      <w:kern w:val="2"/>
      <w:sz w:val="18"/>
      <w:szCs w:val="18"/>
    </w:rPr>
  </w:style>
  <w:style w:type="character" w:customStyle="1" w:styleId="19">
    <w:name w:val="页脚 Char"/>
    <w:basedOn w:val="15"/>
    <w:link w:val="8"/>
    <w:qFormat/>
    <w:uiPriority w:val="0"/>
    <w:rPr>
      <w:kern w:val="2"/>
      <w:sz w:val="18"/>
      <w:szCs w:val="18"/>
    </w:rPr>
  </w:style>
  <w:style w:type="character" w:customStyle="1" w:styleId="20">
    <w:name w:val="标题 2 Char"/>
    <w:basedOn w:val="15"/>
    <w:link w:val="2"/>
    <w:semiHidden/>
    <w:qFormat/>
    <w:uiPriority w:val="0"/>
    <w:rPr>
      <w:rFonts w:asciiTheme="majorHAnsi" w:hAnsiTheme="majorHAnsi" w:eastAsiaTheme="majorEastAsia" w:cstheme="majorBidi"/>
      <w:b/>
      <w:bCs/>
      <w:kern w:val="2"/>
      <w:sz w:val="32"/>
      <w:szCs w:val="32"/>
    </w:rPr>
  </w:style>
  <w:style w:type="character" w:customStyle="1" w:styleId="21">
    <w:name w:val="正文首行缩进 Char"/>
    <w:basedOn w:val="17"/>
    <w:link w:val="11"/>
    <w:qFormat/>
    <w:uiPriority w:val="0"/>
    <w:rPr>
      <w:rFonts w:ascii="仿宋" w:hAnsi="仿宋" w:eastAsia="仿宋" w:cs="宋体"/>
      <w:kern w:val="2"/>
      <w:sz w:val="21"/>
      <w:szCs w:val="24"/>
      <w:lang w:bidi="zh-CN"/>
    </w:rPr>
  </w:style>
  <w:style w:type="character" w:customStyle="1" w:styleId="22">
    <w:name w:val="正文文本缩进 Char"/>
    <w:basedOn w:val="15"/>
    <w:link w:val="7"/>
    <w:qFormat/>
    <w:uiPriority w:val="0"/>
    <w:rPr>
      <w:rFonts w:ascii="Calibri" w:hAnsi="Calibri" w:eastAsia="宋体" w:cs="Times New Roman"/>
      <w:kern w:val="2"/>
      <w:sz w:val="21"/>
      <w:szCs w:val="24"/>
    </w:rPr>
  </w:style>
  <w:style w:type="character" w:customStyle="1" w:styleId="23">
    <w:name w:val="正文首行缩进 2 Char"/>
    <w:basedOn w:val="22"/>
    <w:link w:val="12"/>
    <w:qFormat/>
    <w:uiPriority w:val="0"/>
    <w:rPr>
      <w:rFonts w:ascii="Calibri" w:hAnsi="Calibri" w:eastAsia="宋体" w:cs="Times New Roman"/>
      <w:kern w:val="2"/>
      <w:sz w:val="21"/>
      <w:szCs w:val="24"/>
    </w:rPr>
  </w:style>
  <w:style w:type="character" w:customStyle="1" w:styleId="24">
    <w:name w:val="font31"/>
    <w:basedOn w:val="15"/>
    <w:qFormat/>
    <w:uiPriority w:val="0"/>
    <w:rPr>
      <w:rFonts w:hint="eastAsia" w:ascii="宋体" w:hAnsi="宋体" w:eastAsia="宋体" w:cs="宋体"/>
      <w:color w:val="000000"/>
      <w:sz w:val="24"/>
      <w:szCs w:val="24"/>
      <w:u w:val="none"/>
    </w:rPr>
  </w:style>
  <w:style w:type="paragraph" w:styleId="25">
    <w:name w:val="List Paragraph"/>
    <w:basedOn w:val="1"/>
    <w:qFormat/>
    <w:uiPriority w:val="34"/>
    <w:pPr>
      <w:widowControl/>
      <w:ind w:firstLine="420" w:firstLineChars="200"/>
      <w:jc w:val="left"/>
    </w:pPr>
    <w:rPr>
      <w:rFonts w:ascii="宋体" w:hAnsi="宋体" w:cs="宋体"/>
      <w:kern w:val="0"/>
      <w:sz w:val="24"/>
    </w:rPr>
  </w:style>
  <w:style w:type="paragraph" w:customStyle="1" w:styleId="26">
    <w:name w:val="缺省文本"/>
    <w:basedOn w:val="1"/>
    <w:qFormat/>
    <w:uiPriority w:val="0"/>
    <w:pPr>
      <w:autoSpaceDE w:val="0"/>
      <w:autoSpaceDN w:val="0"/>
      <w:adjustRightInd w:val="0"/>
      <w:spacing w:before="20" w:after="20" w:line="400" w:lineRule="exact"/>
      <w:ind w:firstLine="504"/>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7904</Words>
  <Characters>8511</Characters>
  <Lines>80</Lines>
  <Paragraphs>22</Paragraphs>
  <TotalTime>2</TotalTime>
  <ScaleCrop>false</ScaleCrop>
  <LinksUpToDate>false</LinksUpToDate>
  <CharactersWithSpaces>8610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2025-08-21T08:49:00Z</dcterms:created>
  <dc:creator>廖艺齐</dc:creator>
  <cp:lastModifiedBy>N</cp:lastModifiedBy>
  <dcterms:modified xsi:type="dcterms:W3CDTF">2025-08-21T09:04:19Z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D2D92A9A3FCF4143A42B8526133C4103_13</vt:lpwstr>
  </property>
  <property fmtid="{D5CDD505-2E9C-101B-9397-08002B2CF9AE}" pid="4" name="KSOTemplateDocerSaveRecord">
    <vt:lpwstr>eyJoZGlkIjoiNGNjOTViYzllNGEyZjNjMjhlNTM5YWVmY2UxNTNhYjgiLCJ1c2VySWQiOiIyODc4NDg0MTkifQ==</vt:lpwstr>
  </property>
</Properties>
</file>